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76CA" w14:textId="77777777" w:rsidR="00DC632F" w:rsidRDefault="00DC632F" w:rsidP="00DC632F">
      <w:pPr>
        <w:widowControl w:val="0"/>
        <w:autoSpaceDE w:val="0"/>
        <w:autoSpaceDN w:val="0"/>
        <w:adjustRightInd w:val="0"/>
        <w:rPr>
          <w:rFonts w:ascii="Helvetica" w:hAnsi="Helvetica" w:cs="Helvetica"/>
          <w:sz w:val="30"/>
          <w:szCs w:val="30"/>
        </w:rPr>
      </w:pPr>
      <w:r>
        <w:rPr>
          <w:rFonts w:ascii="Helvetica" w:hAnsi="Helvetica" w:cs="Helvetica"/>
          <w:b/>
          <w:bCs/>
          <w:sz w:val="30"/>
          <w:szCs w:val="30"/>
        </w:rPr>
        <w:t>Methods of Individuation Course Description:</w:t>
      </w:r>
      <w:r>
        <w:rPr>
          <w:rFonts w:ascii="Helvetica" w:hAnsi="Helvetica" w:cs="Helvetica"/>
          <w:sz w:val="30"/>
          <w:szCs w:val="30"/>
        </w:rPr>
        <w:t xml:space="preserve">  </w:t>
      </w:r>
    </w:p>
    <w:p w14:paraId="31740DB5" w14:textId="77777777" w:rsidR="00DC632F" w:rsidRDefault="00DC632F" w:rsidP="00DC632F">
      <w:pPr>
        <w:widowControl w:val="0"/>
        <w:autoSpaceDE w:val="0"/>
        <w:autoSpaceDN w:val="0"/>
        <w:adjustRightInd w:val="0"/>
        <w:rPr>
          <w:rFonts w:ascii="Helvetica" w:hAnsi="Helvetica" w:cs="Helvetica"/>
          <w:sz w:val="30"/>
          <w:szCs w:val="30"/>
        </w:rPr>
      </w:pPr>
    </w:p>
    <w:p w14:paraId="4C3EA8ED" w14:textId="77777777" w:rsidR="00DC632F" w:rsidRDefault="00DC632F" w:rsidP="00DC632F">
      <w:pPr>
        <w:jc w:val="center"/>
        <w:rPr>
          <w:b/>
          <w:sz w:val="22"/>
        </w:rPr>
      </w:pPr>
      <w:r>
        <w:rPr>
          <w:b/>
          <w:sz w:val="22"/>
        </w:rPr>
        <w:t>Teachers College</w:t>
      </w:r>
    </w:p>
    <w:p w14:paraId="1AE37394" w14:textId="77777777" w:rsidR="00DC632F" w:rsidRDefault="00DC632F" w:rsidP="00DC632F">
      <w:pPr>
        <w:jc w:val="center"/>
        <w:rPr>
          <w:b/>
          <w:sz w:val="22"/>
        </w:rPr>
      </w:pPr>
      <w:r>
        <w:rPr>
          <w:b/>
          <w:sz w:val="22"/>
        </w:rPr>
        <w:t>Columbia University</w:t>
      </w:r>
    </w:p>
    <w:p w14:paraId="22D5A253" w14:textId="77777777" w:rsidR="00DC632F" w:rsidRDefault="00DC632F" w:rsidP="00DC632F">
      <w:pPr>
        <w:jc w:val="center"/>
        <w:rPr>
          <w:b/>
          <w:sz w:val="22"/>
        </w:rPr>
      </w:pPr>
      <w:r w:rsidRPr="00670FFA">
        <w:rPr>
          <w:b/>
          <w:sz w:val="22"/>
        </w:rPr>
        <w:t xml:space="preserve">CCPX  </w:t>
      </w:r>
      <w:r>
        <w:rPr>
          <w:b/>
          <w:sz w:val="22"/>
        </w:rPr>
        <w:t xml:space="preserve"> 4199 001</w:t>
      </w:r>
    </w:p>
    <w:p w14:paraId="78C10E69" w14:textId="77777777" w:rsidR="00DC632F" w:rsidRPr="00CA0295" w:rsidRDefault="00DC632F" w:rsidP="00DC632F">
      <w:pPr>
        <w:jc w:val="center"/>
        <w:rPr>
          <w:b/>
          <w:sz w:val="22"/>
          <w:u w:val="single"/>
        </w:rPr>
      </w:pPr>
      <w:r w:rsidRPr="00CA0295">
        <w:rPr>
          <w:b/>
          <w:sz w:val="22"/>
          <w:u w:val="single"/>
        </w:rPr>
        <w:t>Methods in Individuation</w:t>
      </w:r>
    </w:p>
    <w:p w14:paraId="2152BE31" w14:textId="77777777" w:rsidR="00DC632F" w:rsidRDefault="00DC632F" w:rsidP="00DC632F">
      <w:pPr>
        <w:jc w:val="center"/>
        <w:rPr>
          <w:rFonts w:ascii="Century Gothic" w:hAnsi="Century Gothic"/>
          <w:sz w:val="18"/>
          <w:szCs w:val="18"/>
        </w:rPr>
      </w:pPr>
      <w:r>
        <w:rPr>
          <w:rFonts w:ascii="Century Gothic" w:hAnsi="Century Gothic"/>
          <w:sz w:val="18"/>
          <w:szCs w:val="18"/>
        </w:rPr>
        <w:t>Spring 2022</w:t>
      </w:r>
    </w:p>
    <w:p w14:paraId="7E5734F0" w14:textId="77777777" w:rsidR="00DC632F" w:rsidRDefault="00DC632F" w:rsidP="00DC632F">
      <w:pPr>
        <w:jc w:val="center"/>
        <w:rPr>
          <w:rFonts w:ascii="Century Gothic" w:hAnsi="Century Gothic"/>
          <w:sz w:val="18"/>
          <w:szCs w:val="18"/>
        </w:rPr>
      </w:pPr>
      <w:r>
        <w:rPr>
          <w:rFonts w:ascii="Century Gothic" w:hAnsi="Century Gothic"/>
          <w:sz w:val="18"/>
          <w:szCs w:val="18"/>
        </w:rPr>
        <w:t xml:space="preserve">Instructor: Mark </w:t>
      </w:r>
      <w:proofErr w:type="spellStart"/>
      <w:r>
        <w:rPr>
          <w:rFonts w:ascii="Century Gothic" w:hAnsi="Century Gothic"/>
          <w:sz w:val="18"/>
          <w:szCs w:val="18"/>
        </w:rPr>
        <w:t>Kuras</w:t>
      </w:r>
      <w:proofErr w:type="spellEnd"/>
      <w:r>
        <w:rPr>
          <w:rFonts w:ascii="Century Gothic" w:hAnsi="Century Gothic"/>
          <w:sz w:val="18"/>
          <w:szCs w:val="18"/>
        </w:rPr>
        <w:t xml:space="preserve"> Ph.D.</w:t>
      </w:r>
    </w:p>
    <w:p w14:paraId="7296E4E7" w14:textId="77777777" w:rsidR="00DC632F" w:rsidRDefault="00DC632F" w:rsidP="00DC632F">
      <w:pPr>
        <w:jc w:val="center"/>
        <w:rPr>
          <w:rFonts w:ascii="Century Gothic" w:hAnsi="Century Gothic"/>
          <w:sz w:val="18"/>
          <w:szCs w:val="18"/>
        </w:rPr>
      </w:pPr>
      <w:r>
        <w:rPr>
          <w:rFonts w:ascii="Century Gothic" w:hAnsi="Century Gothic"/>
          <w:sz w:val="18"/>
          <w:szCs w:val="18"/>
        </w:rPr>
        <w:t>Thursdays 3:00 pm -4:41 pm</w:t>
      </w:r>
    </w:p>
    <w:p w14:paraId="21D86CBA" w14:textId="77777777" w:rsidR="00DC632F" w:rsidRDefault="00DC632F" w:rsidP="00DC632F">
      <w:pPr>
        <w:jc w:val="center"/>
        <w:rPr>
          <w:rFonts w:ascii="Century Gothic" w:hAnsi="Century Gothic"/>
          <w:sz w:val="18"/>
          <w:szCs w:val="18"/>
        </w:rPr>
      </w:pPr>
      <w:r>
        <w:rPr>
          <w:rFonts w:ascii="Century Gothic" w:hAnsi="Century Gothic"/>
          <w:sz w:val="18"/>
          <w:szCs w:val="18"/>
        </w:rPr>
        <w:t>Credits: 3</w:t>
      </w:r>
    </w:p>
    <w:p w14:paraId="06CFEA53" w14:textId="77777777" w:rsidR="00DC632F" w:rsidRDefault="00DC632F" w:rsidP="00DC632F">
      <w:pPr>
        <w:jc w:val="center"/>
        <w:rPr>
          <w:rFonts w:ascii="Century Gothic" w:hAnsi="Century Gothic"/>
          <w:sz w:val="18"/>
          <w:szCs w:val="18"/>
        </w:rPr>
      </w:pPr>
      <w:r>
        <w:rPr>
          <w:rFonts w:ascii="Century Gothic" w:hAnsi="Century Gothic"/>
          <w:sz w:val="18"/>
          <w:szCs w:val="18"/>
        </w:rPr>
        <w:t>Cell: 212-724-1793</w:t>
      </w:r>
    </w:p>
    <w:p w14:paraId="715D21F4" w14:textId="77777777" w:rsidR="00DC632F" w:rsidRDefault="00DC632F" w:rsidP="00DC632F">
      <w:pPr>
        <w:jc w:val="center"/>
        <w:rPr>
          <w:rFonts w:ascii="Century Gothic" w:hAnsi="Century Gothic"/>
          <w:sz w:val="18"/>
          <w:szCs w:val="18"/>
        </w:rPr>
      </w:pPr>
      <w:r>
        <w:rPr>
          <w:rFonts w:ascii="Century Gothic" w:hAnsi="Century Gothic"/>
          <w:sz w:val="18"/>
          <w:szCs w:val="18"/>
        </w:rPr>
        <w:t xml:space="preserve">Email: </w:t>
      </w:r>
      <w:hyperlink r:id="rId5" w:history="1">
        <w:r w:rsidRPr="00E16EF9">
          <w:rPr>
            <w:rStyle w:val="Hyperlink"/>
            <w:rFonts w:ascii="Century Gothic" w:hAnsi="Century Gothic"/>
            <w:sz w:val="18"/>
            <w:szCs w:val="18"/>
          </w:rPr>
          <w:t>mfk8@Tc.columbia.edu</w:t>
        </w:r>
      </w:hyperlink>
    </w:p>
    <w:p w14:paraId="1CEC8980" w14:textId="77777777" w:rsidR="00DC632F" w:rsidRDefault="00DC632F" w:rsidP="00DC632F">
      <w:pPr>
        <w:jc w:val="center"/>
        <w:rPr>
          <w:rFonts w:ascii="Century Gothic" w:hAnsi="Century Gothic"/>
          <w:sz w:val="18"/>
          <w:szCs w:val="18"/>
        </w:rPr>
      </w:pPr>
      <w:r>
        <w:rPr>
          <w:rFonts w:ascii="Century Gothic" w:hAnsi="Century Gothic"/>
          <w:sz w:val="18"/>
          <w:szCs w:val="18"/>
        </w:rPr>
        <w:t xml:space="preserve"> Office: By appointment</w:t>
      </w:r>
    </w:p>
    <w:p w14:paraId="3963B0B8" w14:textId="77777777" w:rsidR="00DC632F" w:rsidRDefault="00DC632F" w:rsidP="00DC632F">
      <w:pPr>
        <w:widowControl w:val="0"/>
        <w:autoSpaceDE w:val="0"/>
        <w:autoSpaceDN w:val="0"/>
        <w:adjustRightInd w:val="0"/>
        <w:rPr>
          <w:rFonts w:ascii="Helvetica" w:hAnsi="Helvetica" w:cs="Helvetica"/>
          <w:sz w:val="30"/>
          <w:szCs w:val="30"/>
        </w:rPr>
      </w:pPr>
    </w:p>
    <w:p w14:paraId="407F45AE" w14:textId="77777777" w:rsidR="00DC632F" w:rsidRDefault="00DC632F" w:rsidP="00DC632F">
      <w:pPr>
        <w:widowControl w:val="0"/>
        <w:autoSpaceDE w:val="0"/>
        <w:autoSpaceDN w:val="0"/>
        <w:adjustRightInd w:val="0"/>
        <w:ind w:firstLine="720"/>
        <w:rPr>
          <w:rFonts w:ascii="Helvetica" w:hAnsi="Helvetica" w:cs="Helvetica"/>
          <w:sz w:val="30"/>
          <w:szCs w:val="30"/>
        </w:rPr>
      </w:pPr>
      <w:r>
        <w:rPr>
          <w:rFonts w:ascii="Helvetica" w:hAnsi="Helvetica" w:cs="Helvetica"/>
          <w:sz w:val="30"/>
          <w:szCs w:val="30"/>
        </w:rPr>
        <w:t xml:space="preserve">Jung’s “confrontation with the unconscious” published in The Black Books and The Red Book, follows from Jung’s break with Freudian psychology. Relinquishing that optic allowed Jung to be “assaulted” by spontaneous imaginal events—visions, dreams, symptoms—dynamic psychical incidents that defied reduction into the Freudian psychodynamics maintaining ego-consciousness. </w:t>
      </w:r>
    </w:p>
    <w:p w14:paraId="6DA0FEF2" w14:textId="77777777" w:rsidR="00DC632F" w:rsidRDefault="00DC632F" w:rsidP="00DC632F">
      <w:pPr>
        <w:widowControl w:val="0"/>
        <w:autoSpaceDE w:val="0"/>
        <w:autoSpaceDN w:val="0"/>
        <w:adjustRightInd w:val="0"/>
        <w:ind w:firstLine="720"/>
        <w:rPr>
          <w:rFonts w:ascii="Helvetica" w:hAnsi="Helvetica" w:cs="Helvetica"/>
          <w:sz w:val="30"/>
          <w:szCs w:val="30"/>
        </w:rPr>
      </w:pPr>
      <w:r>
        <w:rPr>
          <w:rFonts w:ascii="Helvetica" w:hAnsi="Helvetica" w:cs="Helvetica"/>
          <w:sz w:val="30"/>
          <w:szCs w:val="30"/>
        </w:rPr>
        <w:t xml:space="preserve">The “break with Freud” made Jung recognize that the “unconscious” comprised more than the elementary dynamics that existed </w:t>
      </w:r>
      <w:r w:rsidRPr="00B8400A">
        <w:rPr>
          <w:rFonts w:ascii="Helvetica" w:hAnsi="Helvetica" w:cs="Helvetica"/>
          <w:i/>
          <w:iCs/>
          <w:sz w:val="30"/>
          <w:szCs w:val="30"/>
        </w:rPr>
        <w:t>before</w:t>
      </w:r>
      <w:r>
        <w:rPr>
          <w:rFonts w:ascii="Helvetica" w:hAnsi="Helvetica" w:cs="Helvetica"/>
          <w:sz w:val="30"/>
          <w:szCs w:val="30"/>
        </w:rPr>
        <w:t xml:space="preserve"> ego-consciousness; Jung, “working-through Freud”, was taken into dynamics acting to take consciousness </w:t>
      </w:r>
      <w:r w:rsidRPr="00880E68">
        <w:rPr>
          <w:rFonts w:ascii="Helvetica" w:hAnsi="Helvetica" w:cs="Helvetica"/>
          <w:i/>
          <w:iCs/>
          <w:sz w:val="30"/>
          <w:szCs w:val="30"/>
        </w:rPr>
        <w:t>beyond</w:t>
      </w:r>
      <w:r>
        <w:rPr>
          <w:rFonts w:ascii="Helvetica" w:hAnsi="Helvetica" w:cs="Helvetica"/>
          <w:sz w:val="30"/>
          <w:szCs w:val="30"/>
        </w:rPr>
        <w:t xml:space="preserve"> ego-consciousness.</w:t>
      </w:r>
    </w:p>
    <w:p w14:paraId="546188D7" w14:textId="77777777" w:rsidR="00DC632F" w:rsidRDefault="00DC632F" w:rsidP="00DC632F">
      <w:pPr>
        <w:widowControl w:val="0"/>
        <w:autoSpaceDE w:val="0"/>
        <w:autoSpaceDN w:val="0"/>
        <w:adjustRightInd w:val="0"/>
        <w:ind w:firstLine="720"/>
        <w:rPr>
          <w:rFonts w:ascii="Helvetica" w:hAnsi="Helvetica" w:cs="Helvetica"/>
          <w:sz w:val="30"/>
          <w:szCs w:val="30"/>
        </w:rPr>
      </w:pPr>
      <w:r>
        <w:rPr>
          <w:rFonts w:ascii="Helvetica" w:hAnsi="Helvetica" w:cs="Helvetica"/>
          <w:sz w:val="30"/>
          <w:szCs w:val="30"/>
        </w:rPr>
        <w:t xml:space="preserve">The Black Book is an account of Jung’s initiation into these dynamics, which Jung gathered under the term </w:t>
      </w:r>
      <w:r w:rsidRPr="007346B5">
        <w:rPr>
          <w:rFonts w:ascii="Helvetica" w:hAnsi="Helvetica" w:cs="Helvetica"/>
          <w:b/>
          <w:bCs/>
          <w:sz w:val="30"/>
          <w:szCs w:val="30"/>
        </w:rPr>
        <w:t>Individuation</w:t>
      </w:r>
      <w:r>
        <w:rPr>
          <w:rFonts w:ascii="Helvetica" w:hAnsi="Helvetica" w:cs="Helvetica"/>
          <w:sz w:val="30"/>
          <w:szCs w:val="30"/>
        </w:rPr>
        <w:t xml:space="preserve"> and effectively is a therapeutic manual that addresses the increasingly symptomatic status of ego-consciousness. As that, it is a radical departure from traditional conceptions of psychotherapy. Individuation appraises the effects of a Freudian ego: it is its conscience. As that, it is the ethical core of current psychopathology and so decisive in any theory of therapeutic action. </w:t>
      </w:r>
    </w:p>
    <w:p w14:paraId="3CCB94EB" w14:textId="77777777" w:rsidR="00DC632F" w:rsidRDefault="00DC632F" w:rsidP="00DC632F">
      <w:pPr>
        <w:widowControl w:val="0"/>
        <w:autoSpaceDE w:val="0"/>
        <w:autoSpaceDN w:val="0"/>
        <w:adjustRightInd w:val="0"/>
        <w:ind w:firstLine="720"/>
        <w:rPr>
          <w:rFonts w:ascii="Helvetica" w:hAnsi="Helvetica" w:cs="Helvetica"/>
          <w:sz w:val="30"/>
          <w:szCs w:val="30"/>
        </w:rPr>
      </w:pPr>
      <w:r w:rsidRPr="008074CE">
        <w:rPr>
          <w:rFonts w:ascii="Helvetica" w:hAnsi="Helvetica" w:cs="Helvetica"/>
          <w:sz w:val="30"/>
          <w:szCs w:val="30"/>
        </w:rPr>
        <w:t>Consequently</w:t>
      </w:r>
      <w:r>
        <w:rPr>
          <w:rFonts w:ascii="Helvetica" w:hAnsi="Helvetica" w:cs="Helvetica"/>
          <w:sz w:val="30"/>
          <w:szCs w:val="30"/>
        </w:rPr>
        <w:t xml:space="preserve">, Jung devised a specific methodology to support individuation. </w:t>
      </w:r>
      <w:r w:rsidRPr="00921764">
        <w:rPr>
          <w:rFonts w:ascii="Helvetica" w:hAnsi="Helvetica" w:cs="Helvetica"/>
          <w:i/>
          <w:sz w:val="30"/>
          <w:szCs w:val="30"/>
        </w:rPr>
        <w:t>Active imagination</w:t>
      </w:r>
      <w:r>
        <w:rPr>
          <w:rFonts w:ascii="Helvetica" w:hAnsi="Helvetica" w:cs="Helvetica"/>
          <w:sz w:val="30"/>
          <w:szCs w:val="30"/>
        </w:rPr>
        <w:t xml:space="preserve"> or “dreaming with open eyes,” is a technique that fosters intimacy with the sovereign, autonomous, spirited image-making processes in psychical life and therefore establishes the “confrontation with the unconscious”. Endured, a shift occurs from ego-consciousness to consciousness-of-ego and this </w:t>
      </w:r>
      <w:r>
        <w:rPr>
          <w:rFonts w:ascii="Helvetica" w:hAnsi="Helvetica" w:cs="Helvetica"/>
          <w:sz w:val="30"/>
          <w:szCs w:val="30"/>
        </w:rPr>
        <w:lastRenderedPageBreak/>
        <w:t xml:space="preserve">uncomfortably counters the thrills of suggestibility, mass-mindedness and the statistical reality upon which ego-consciousness increasingly depends. Individuation leads to “solitude”, a psychological achievement and acceptance of responsibility well beyond individuality and subjectivity. </w:t>
      </w:r>
    </w:p>
    <w:p w14:paraId="691CDC07" w14:textId="77777777" w:rsidR="00DC632F" w:rsidRDefault="00DC632F" w:rsidP="00DC632F">
      <w:pPr>
        <w:widowControl w:val="0"/>
        <w:autoSpaceDE w:val="0"/>
        <w:autoSpaceDN w:val="0"/>
        <w:adjustRightInd w:val="0"/>
        <w:rPr>
          <w:rFonts w:ascii="Helvetica" w:hAnsi="Helvetica" w:cs="Helvetica"/>
          <w:sz w:val="30"/>
          <w:szCs w:val="30"/>
        </w:rPr>
      </w:pPr>
    </w:p>
    <w:p w14:paraId="1331DE86" w14:textId="77777777" w:rsidR="00DC632F" w:rsidRPr="00AB3B7A" w:rsidRDefault="00DC632F" w:rsidP="00DC632F">
      <w:pPr>
        <w:widowControl w:val="0"/>
        <w:autoSpaceDE w:val="0"/>
        <w:autoSpaceDN w:val="0"/>
        <w:adjustRightInd w:val="0"/>
        <w:rPr>
          <w:rFonts w:ascii="Helvetica" w:hAnsi="Helvetica" w:cs="Helvetica"/>
          <w:b/>
          <w:sz w:val="30"/>
          <w:szCs w:val="30"/>
        </w:rPr>
      </w:pPr>
      <w:r w:rsidRPr="00AB3B7A">
        <w:rPr>
          <w:rFonts w:ascii="Helvetica" w:hAnsi="Helvetica" w:cs="Helvetica"/>
          <w:b/>
          <w:sz w:val="30"/>
          <w:szCs w:val="30"/>
        </w:rPr>
        <w:t>Course Objectives:</w:t>
      </w:r>
    </w:p>
    <w:p w14:paraId="7B327652" w14:textId="77777777" w:rsidR="00DC632F" w:rsidRDefault="00DC632F" w:rsidP="00DC632F">
      <w:pPr>
        <w:widowControl w:val="0"/>
        <w:autoSpaceDE w:val="0"/>
        <w:autoSpaceDN w:val="0"/>
        <w:adjustRightInd w:val="0"/>
        <w:rPr>
          <w:rFonts w:ascii="Helvetica" w:hAnsi="Helvetica" w:cs="Helvetica"/>
          <w:sz w:val="30"/>
          <w:szCs w:val="30"/>
        </w:rPr>
      </w:pPr>
    </w:p>
    <w:p w14:paraId="59F2181B" w14:textId="77777777" w:rsidR="00DC632F" w:rsidRDefault="00DC632F" w:rsidP="00DC632F">
      <w:pPr>
        <w:pStyle w:val="ListParagraph"/>
        <w:widowControl w:val="0"/>
        <w:numPr>
          <w:ilvl w:val="0"/>
          <w:numId w:val="1"/>
        </w:numPr>
        <w:autoSpaceDE w:val="0"/>
        <w:autoSpaceDN w:val="0"/>
        <w:adjustRightInd w:val="0"/>
        <w:rPr>
          <w:rFonts w:ascii="Helvetica" w:hAnsi="Helvetica" w:cs="Helvetica"/>
          <w:sz w:val="30"/>
          <w:szCs w:val="30"/>
        </w:rPr>
      </w:pPr>
      <w:r>
        <w:rPr>
          <w:rFonts w:ascii="Helvetica" w:hAnsi="Helvetica" w:cs="Helvetica"/>
          <w:sz w:val="30"/>
          <w:szCs w:val="30"/>
        </w:rPr>
        <w:t>Engage with Jung’s theory of individuation as contained in his personal writings (Memories, Dreams, Reflections, The Black Book and the Red Book)</w:t>
      </w:r>
    </w:p>
    <w:p w14:paraId="3793A870" w14:textId="77777777" w:rsidR="00DC632F" w:rsidRDefault="00DC632F" w:rsidP="00DC632F">
      <w:pPr>
        <w:pStyle w:val="ListParagraph"/>
        <w:widowControl w:val="0"/>
        <w:numPr>
          <w:ilvl w:val="0"/>
          <w:numId w:val="1"/>
        </w:numPr>
        <w:autoSpaceDE w:val="0"/>
        <w:autoSpaceDN w:val="0"/>
        <w:adjustRightInd w:val="0"/>
        <w:rPr>
          <w:rFonts w:ascii="Helvetica" w:hAnsi="Helvetica" w:cs="Helvetica"/>
          <w:sz w:val="30"/>
          <w:szCs w:val="30"/>
        </w:rPr>
      </w:pPr>
      <w:r>
        <w:rPr>
          <w:rFonts w:ascii="Helvetica" w:hAnsi="Helvetica" w:cs="Helvetica"/>
          <w:sz w:val="30"/>
          <w:szCs w:val="30"/>
        </w:rPr>
        <w:t>Situate Individuation and active imagination in the psychotherapeutic and meditative traditions.</w:t>
      </w:r>
    </w:p>
    <w:p w14:paraId="36B1A85B" w14:textId="77777777" w:rsidR="00DC632F" w:rsidRPr="00446672" w:rsidRDefault="00DC632F" w:rsidP="00DC632F">
      <w:pPr>
        <w:pStyle w:val="ListParagraph"/>
        <w:widowControl w:val="0"/>
        <w:numPr>
          <w:ilvl w:val="0"/>
          <w:numId w:val="1"/>
        </w:numPr>
        <w:autoSpaceDE w:val="0"/>
        <w:autoSpaceDN w:val="0"/>
        <w:adjustRightInd w:val="0"/>
        <w:rPr>
          <w:rFonts w:ascii="Helvetica" w:hAnsi="Helvetica" w:cs="Helvetica"/>
          <w:sz w:val="30"/>
          <w:szCs w:val="30"/>
        </w:rPr>
      </w:pPr>
      <w:r w:rsidRPr="00446672">
        <w:rPr>
          <w:rFonts w:ascii="Helvetica" w:hAnsi="Helvetica" w:cs="Helvetica"/>
          <w:sz w:val="30"/>
          <w:szCs w:val="30"/>
        </w:rPr>
        <w:t>Delineate Jung’s method of active imagination, particularly how it evolved from word association, the complex, and dream analysis.</w:t>
      </w:r>
    </w:p>
    <w:p w14:paraId="58947277" w14:textId="77777777" w:rsidR="00DC632F" w:rsidRDefault="00DC632F" w:rsidP="00DC632F">
      <w:pPr>
        <w:pStyle w:val="ListParagraph"/>
        <w:widowControl w:val="0"/>
        <w:numPr>
          <w:ilvl w:val="0"/>
          <w:numId w:val="1"/>
        </w:numPr>
        <w:autoSpaceDE w:val="0"/>
        <w:autoSpaceDN w:val="0"/>
        <w:adjustRightInd w:val="0"/>
        <w:rPr>
          <w:rFonts w:ascii="Helvetica" w:hAnsi="Helvetica" w:cs="Helvetica"/>
          <w:sz w:val="30"/>
          <w:szCs w:val="30"/>
        </w:rPr>
      </w:pPr>
      <w:r w:rsidRPr="00446672">
        <w:rPr>
          <w:rFonts w:ascii="Helvetica" w:hAnsi="Helvetica" w:cs="Helvetica"/>
          <w:sz w:val="30"/>
          <w:szCs w:val="30"/>
        </w:rPr>
        <w:t>Document how active imagination is related to Jung’s concept of “anima” especially as this construct relates to the psychical activities of amplification and personification.</w:t>
      </w:r>
    </w:p>
    <w:p w14:paraId="51F81D0A" w14:textId="77777777" w:rsidR="00DC632F" w:rsidRPr="00446672" w:rsidRDefault="00DC632F" w:rsidP="00DC632F">
      <w:pPr>
        <w:pStyle w:val="ListParagraph"/>
        <w:widowControl w:val="0"/>
        <w:numPr>
          <w:ilvl w:val="0"/>
          <w:numId w:val="1"/>
        </w:numPr>
        <w:autoSpaceDE w:val="0"/>
        <w:autoSpaceDN w:val="0"/>
        <w:adjustRightInd w:val="0"/>
        <w:rPr>
          <w:rFonts w:ascii="Helvetica" w:hAnsi="Helvetica" w:cs="Helvetica"/>
          <w:sz w:val="30"/>
          <w:szCs w:val="30"/>
        </w:rPr>
      </w:pPr>
      <w:r>
        <w:rPr>
          <w:rFonts w:ascii="Helvetica" w:hAnsi="Helvetica" w:cs="Helvetica"/>
          <w:sz w:val="30"/>
          <w:szCs w:val="30"/>
        </w:rPr>
        <w:t>Exercise imaginative techniques representative of this methodology</w:t>
      </w:r>
    </w:p>
    <w:p w14:paraId="367EF25C" w14:textId="77777777" w:rsidR="00DC632F" w:rsidRPr="00016BEB" w:rsidRDefault="00DC632F" w:rsidP="00DC632F">
      <w:pPr>
        <w:pStyle w:val="ListParagraph"/>
        <w:widowControl w:val="0"/>
        <w:numPr>
          <w:ilvl w:val="0"/>
          <w:numId w:val="1"/>
        </w:numPr>
        <w:autoSpaceDE w:val="0"/>
        <w:autoSpaceDN w:val="0"/>
        <w:adjustRightInd w:val="0"/>
        <w:rPr>
          <w:rFonts w:ascii="Helvetica" w:hAnsi="Helvetica" w:cs="Helvetica"/>
          <w:sz w:val="30"/>
          <w:szCs w:val="30"/>
        </w:rPr>
      </w:pPr>
      <w:r>
        <w:rPr>
          <w:rFonts w:ascii="Helvetica" w:hAnsi="Helvetica" w:cs="Helvetica"/>
          <w:sz w:val="30"/>
          <w:szCs w:val="30"/>
        </w:rPr>
        <w:t xml:space="preserve">Describe Jung’s notion of a </w:t>
      </w:r>
      <w:r w:rsidRPr="00016BEB">
        <w:rPr>
          <w:rFonts w:ascii="Helvetica" w:hAnsi="Helvetica" w:cs="Helvetica"/>
          <w:sz w:val="30"/>
          <w:szCs w:val="30"/>
        </w:rPr>
        <w:t xml:space="preserve">transcendent function, </w:t>
      </w:r>
      <w:r>
        <w:rPr>
          <w:rFonts w:ascii="Helvetica" w:hAnsi="Helvetica" w:cs="Helvetica"/>
          <w:sz w:val="30"/>
          <w:szCs w:val="30"/>
        </w:rPr>
        <w:t xml:space="preserve">and how it allows for </w:t>
      </w:r>
      <w:r w:rsidRPr="00016BEB">
        <w:rPr>
          <w:rFonts w:ascii="Helvetica" w:hAnsi="Helvetica" w:cs="Helvetica"/>
          <w:sz w:val="30"/>
          <w:szCs w:val="30"/>
        </w:rPr>
        <w:t xml:space="preserve">symbol formation </w:t>
      </w:r>
      <w:r>
        <w:rPr>
          <w:rFonts w:ascii="Helvetica" w:hAnsi="Helvetica" w:cs="Helvetica"/>
          <w:sz w:val="30"/>
          <w:szCs w:val="30"/>
        </w:rPr>
        <w:t xml:space="preserve">to </w:t>
      </w:r>
      <w:r w:rsidRPr="001F35D5">
        <w:rPr>
          <w:rFonts w:ascii="Helvetica" w:hAnsi="Helvetica" w:cs="Helvetica"/>
          <w:sz w:val="30"/>
          <w:szCs w:val="30"/>
        </w:rPr>
        <w:t>displace</w:t>
      </w:r>
      <w:r>
        <w:rPr>
          <w:rFonts w:ascii="Helvetica" w:hAnsi="Helvetica" w:cs="Helvetica"/>
          <w:sz w:val="30"/>
          <w:szCs w:val="30"/>
        </w:rPr>
        <w:t xml:space="preserve"> </w:t>
      </w:r>
      <w:r w:rsidRPr="00016BEB">
        <w:rPr>
          <w:rFonts w:ascii="Helvetica" w:hAnsi="Helvetica" w:cs="Helvetica"/>
          <w:sz w:val="30"/>
          <w:szCs w:val="30"/>
        </w:rPr>
        <w:t>symptom formation</w:t>
      </w:r>
      <w:r>
        <w:rPr>
          <w:rFonts w:ascii="Helvetica" w:hAnsi="Helvetica" w:cs="Helvetica"/>
          <w:sz w:val="30"/>
          <w:szCs w:val="30"/>
        </w:rPr>
        <w:t>.</w:t>
      </w:r>
    </w:p>
    <w:p w14:paraId="3F247236" w14:textId="77777777" w:rsidR="00DC632F" w:rsidRDefault="00DC632F" w:rsidP="00DC632F">
      <w:pPr>
        <w:pStyle w:val="ListParagraph"/>
        <w:widowControl w:val="0"/>
        <w:numPr>
          <w:ilvl w:val="0"/>
          <w:numId w:val="1"/>
        </w:numPr>
        <w:autoSpaceDE w:val="0"/>
        <w:autoSpaceDN w:val="0"/>
        <w:adjustRightInd w:val="0"/>
        <w:rPr>
          <w:rFonts w:ascii="Helvetica" w:hAnsi="Helvetica" w:cs="Helvetica"/>
          <w:sz w:val="30"/>
          <w:szCs w:val="30"/>
        </w:rPr>
      </w:pPr>
      <w:r>
        <w:rPr>
          <w:rFonts w:ascii="Helvetica" w:hAnsi="Helvetica" w:cs="Helvetica"/>
          <w:sz w:val="30"/>
          <w:szCs w:val="30"/>
        </w:rPr>
        <w:t xml:space="preserve">Pose Jung’s psychology as the remedy for Freud. </w:t>
      </w:r>
    </w:p>
    <w:p w14:paraId="743E63B2" w14:textId="77777777" w:rsidR="00DC632F" w:rsidRDefault="00DC632F" w:rsidP="00DC632F">
      <w:pPr>
        <w:widowControl w:val="0"/>
        <w:autoSpaceDE w:val="0"/>
        <w:autoSpaceDN w:val="0"/>
        <w:adjustRightInd w:val="0"/>
        <w:rPr>
          <w:rFonts w:ascii="Helvetica" w:hAnsi="Helvetica" w:cs="Helvetica"/>
          <w:sz w:val="30"/>
          <w:szCs w:val="30"/>
        </w:rPr>
      </w:pPr>
    </w:p>
    <w:p w14:paraId="18839AF4" w14:textId="77777777" w:rsidR="00DC632F" w:rsidRDefault="00DC632F" w:rsidP="00DC632F">
      <w:pPr>
        <w:widowControl w:val="0"/>
        <w:autoSpaceDE w:val="0"/>
        <w:autoSpaceDN w:val="0"/>
        <w:adjustRightInd w:val="0"/>
        <w:rPr>
          <w:rFonts w:ascii="Helvetica" w:hAnsi="Helvetica" w:cs="Helvetica"/>
          <w:sz w:val="30"/>
          <w:szCs w:val="30"/>
        </w:rPr>
      </w:pPr>
    </w:p>
    <w:p w14:paraId="0BDC3CB7" w14:textId="77777777" w:rsidR="00DC632F" w:rsidRDefault="00DC632F" w:rsidP="00DC632F">
      <w:pPr>
        <w:rPr>
          <w:sz w:val="22"/>
        </w:rPr>
      </w:pPr>
      <w:r w:rsidRPr="009442CD">
        <w:rPr>
          <w:b/>
          <w:sz w:val="22"/>
          <w:u w:val="single"/>
        </w:rPr>
        <w:t>Primary Texts:</w:t>
      </w:r>
    </w:p>
    <w:p w14:paraId="1B11E331" w14:textId="77777777" w:rsidR="00DC632F" w:rsidRDefault="00DC632F" w:rsidP="00DC632F">
      <w:pPr>
        <w:rPr>
          <w:sz w:val="22"/>
        </w:rPr>
      </w:pPr>
    </w:p>
    <w:p w14:paraId="184596CF" w14:textId="77777777" w:rsidR="00DC632F" w:rsidRDefault="00DC632F" w:rsidP="00DC632F">
      <w:pPr>
        <w:rPr>
          <w:sz w:val="22"/>
        </w:rPr>
      </w:pPr>
      <w:proofErr w:type="spellStart"/>
      <w:r>
        <w:rPr>
          <w:sz w:val="22"/>
        </w:rPr>
        <w:t>Ehrenzweig</w:t>
      </w:r>
      <w:proofErr w:type="spellEnd"/>
      <w:r>
        <w:rPr>
          <w:sz w:val="22"/>
        </w:rPr>
        <w:t>, A (1957) The Creative Surrender American Imago Vol.14#3p. 193-210</w:t>
      </w:r>
    </w:p>
    <w:p w14:paraId="40B74C08" w14:textId="77777777" w:rsidR="00DC632F" w:rsidRDefault="00DC632F" w:rsidP="00DC632F">
      <w:pPr>
        <w:rPr>
          <w:sz w:val="22"/>
        </w:rPr>
      </w:pPr>
      <w:r>
        <w:rPr>
          <w:sz w:val="22"/>
        </w:rPr>
        <w:t xml:space="preserve">Eliade, M. </w:t>
      </w:r>
      <w:proofErr w:type="gramStart"/>
      <w:r>
        <w:rPr>
          <w:sz w:val="22"/>
        </w:rPr>
        <w:t>(.  )</w:t>
      </w:r>
      <w:proofErr w:type="gramEnd"/>
      <w:r>
        <w:rPr>
          <w:sz w:val="22"/>
        </w:rPr>
        <w:t xml:space="preserve"> Shamanism</w:t>
      </w:r>
    </w:p>
    <w:p w14:paraId="52EC97A9" w14:textId="77777777" w:rsidR="00DC632F" w:rsidRDefault="00DC632F" w:rsidP="00DC632F">
      <w:pPr>
        <w:rPr>
          <w:sz w:val="22"/>
        </w:rPr>
      </w:pPr>
      <w:r>
        <w:rPr>
          <w:sz w:val="22"/>
        </w:rPr>
        <w:t>Ellenberger, H. (1968) The Concept of Creative Illness. Psychoanalytic review, 55(3); 442-456</w:t>
      </w:r>
    </w:p>
    <w:p w14:paraId="5983168B" w14:textId="77777777" w:rsidR="00DC632F" w:rsidRDefault="00DC632F" w:rsidP="00DC632F">
      <w:pPr>
        <w:rPr>
          <w:sz w:val="22"/>
        </w:rPr>
      </w:pPr>
      <w:r>
        <w:rPr>
          <w:sz w:val="22"/>
        </w:rPr>
        <w:t>Greenwald A. (1980) American Psychologist Vol35, No 7, 603-618</w:t>
      </w:r>
    </w:p>
    <w:p w14:paraId="1504BEC5" w14:textId="77777777" w:rsidR="00DC632F" w:rsidRDefault="00DC632F" w:rsidP="00DC632F">
      <w:pPr>
        <w:rPr>
          <w:sz w:val="22"/>
        </w:rPr>
      </w:pPr>
      <w:proofErr w:type="spellStart"/>
      <w:r>
        <w:rPr>
          <w:sz w:val="22"/>
        </w:rPr>
        <w:t>Gymesi</w:t>
      </w:r>
      <w:proofErr w:type="spellEnd"/>
      <w:r>
        <w:rPr>
          <w:sz w:val="22"/>
        </w:rPr>
        <w:t>, J (2009) The Problem of Demarcation: Psychoanalysis and the Occult</w:t>
      </w:r>
    </w:p>
    <w:p w14:paraId="72175119" w14:textId="77777777" w:rsidR="00DC632F" w:rsidRDefault="00DC632F" w:rsidP="00DC632F">
      <w:pPr>
        <w:rPr>
          <w:rFonts w:eastAsia="Times New Roman"/>
        </w:rPr>
      </w:pPr>
      <w:r>
        <w:rPr>
          <w:sz w:val="22"/>
        </w:rPr>
        <w:tab/>
      </w:r>
      <w:hyperlink r:id="rId6" w:history="1">
        <w:r>
          <w:rPr>
            <w:rStyle w:val="Hyperlink"/>
            <w:rFonts w:ascii="Helvetica" w:hAnsi="Helvetica"/>
            <w:sz w:val="18"/>
            <w:szCs w:val="18"/>
          </w:rPr>
          <w:t>https://muse.jhu.edu/article/376282/pdf</w:t>
        </w:r>
      </w:hyperlink>
      <w:r>
        <w:rPr>
          <w:rStyle w:val="apple-converted-space"/>
          <w:rFonts w:ascii="Helvetica" w:hAnsi="Helvetica"/>
          <w:color w:val="000000"/>
          <w:sz w:val="18"/>
          <w:szCs w:val="18"/>
        </w:rPr>
        <w:t> </w:t>
      </w:r>
    </w:p>
    <w:p w14:paraId="038F1B81" w14:textId="77777777" w:rsidR="00DC632F" w:rsidRDefault="00DC632F" w:rsidP="00DC632F">
      <w:pPr>
        <w:rPr>
          <w:sz w:val="22"/>
        </w:rPr>
      </w:pPr>
      <w:r>
        <w:rPr>
          <w:sz w:val="22"/>
        </w:rPr>
        <w:t>Jung, C.G.</w:t>
      </w:r>
      <w:r w:rsidRPr="00054988">
        <w:rPr>
          <w:sz w:val="22"/>
        </w:rPr>
        <w:t xml:space="preserve"> </w:t>
      </w:r>
      <w:r>
        <w:rPr>
          <w:sz w:val="22"/>
        </w:rPr>
        <w:t>(1961) Memories, Dreams, Reflections. Norton: NY, NY.</w:t>
      </w:r>
    </w:p>
    <w:p w14:paraId="241EDB3D" w14:textId="77777777" w:rsidR="00DC632F" w:rsidRDefault="00DC632F" w:rsidP="00DC632F">
      <w:r>
        <w:t xml:space="preserve">Jung, C.G. (1902) On the Psychology &amp; Pathology of so-called Occult </w:t>
      </w:r>
    </w:p>
    <w:p w14:paraId="4ECD6F8D" w14:textId="77777777" w:rsidR="00DC632F" w:rsidRDefault="00DC632F" w:rsidP="00DC632F">
      <w:r>
        <w:tab/>
      </w:r>
      <w:r>
        <w:tab/>
      </w:r>
      <w:r>
        <w:tab/>
      </w:r>
      <w:r>
        <w:tab/>
        <w:t>Phenomenon, CW 1, pp. 3-88</w:t>
      </w:r>
    </w:p>
    <w:p w14:paraId="3A3D5D7F" w14:textId="77777777" w:rsidR="00DC632F" w:rsidRDefault="00DC632F" w:rsidP="00DC632F">
      <w:r>
        <w:t xml:space="preserve">_______. (1943) Two Essays on Analytical Psychology, CW 7, </w:t>
      </w:r>
    </w:p>
    <w:p w14:paraId="5F38B2D7" w14:textId="77777777" w:rsidR="00DC632F" w:rsidRDefault="00DC632F" w:rsidP="00DC632F">
      <w:r>
        <w:t>_______. (1939) Conscious, Unconscious, Individuation. CW 9i, pp. 275-289</w:t>
      </w:r>
    </w:p>
    <w:p w14:paraId="1D31DCEA" w14:textId="77777777" w:rsidR="00DC632F" w:rsidRDefault="00DC632F" w:rsidP="00DC632F">
      <w:r>
        <w:lastRenderedPageBreak/>
        <w:t xml:space="preserve">________. </w:t>
      </w:r>
      <w:proofErr w:type="gramStart"/>
      <w:r>
        <w:t>_(</w:t>
      </w:r>
      <w:proofErr w:type="gramEnd"/>
      <w:r>
        <w:t xml:space="preserve">1958) A Psychological View of Conscience. CW </w:t>
      </w:r>
      <w:proofErr w:type="gramStart"/>
      <w:r>
        <w:t>10,pp.</w:t>
      </w:r>
      <w:proofErr w:type="gramEnd"/>
      <w:r>
        <w:t xml:space="preserve"> 437-455</w:t>
      </w:r>
    </w:p>
    <w:p w14:paraId="1CF4CBAF" w14:textId="77777777" w:rsidR="00DC632F" w:rsidRPr="009535A9" w:rsidRDefault="00DC632F" w:rsidP="00DC632F">
      <w:r>
        <w:t>_________. (1957) The Undiscovered Self. CW 10, pp. 245-306</w:t>
      </w:r>
    </w:p>
    <w:p w14:paraId="7636C7C5" w14:textId="77777777" w:rsidR="00DC632F" w:rsidRDefault="00DC632F" w:rsidP="00DC632F">
      <w:pPr>
        <w:rPr>
          <w:sz w:val="22"/>
        </w:rPr>
      </w:pPr>
      <w:r>
        <w:rPr>
          <w:sz w:val="22"/>
        </w:rPr>
        <w:t>__________</w:t>
      </w:r>
      <w:proofErr w:type="gramStart"/>
      <w:r>
        <w:rPr>
          <w:sz w:val="22"/>
        </w:rPr>
        <w:t>_(</w:t>
      </w:r>
      <w:proofErr w:type="gramEnd"/>
      <w:r>
        <w:rPr>
          <w:sz w:val="22"/>
        </w:rPr>
        <w:t>1916/1957) The Transcendent Function, CW8 para 131-193</w:t>
      </w:r>
    </w:p>
    <w:p w14:paraId="2E9AD08C" w14:textId="77777777" w:rsidR="00DC632F" w:rsidRDefault="00DC632F" w:rsidP="00DC632F">
      <w:pPr>
        <w:rPr>
          <w:sz w:val="22"/>
        </w:rPr>
      </w:pPr>
      <w:r>
        <w:rPr>
          <w:sz w:val="22"/>
        </w:rPr>
        <w:t>__________</w:t>
      </w:r>
      <w:proofErr w:type="gramStart"/>
      <w:r>
        <w:rPr>
          <w:sz w:val="22"/>
        </w:rPr>
        <w:t>_(</w:t>
      </w:r>
      <w:proofErr w:type="gramEnd"/>
      <w:r>
        <w:rPr>
          <w:sz w:val="22"/>
        </w:rPr>
        <w:t>1989) Analytical Psychology 1925. Princeton Univ Press, Princeton, NJ</w:t>
      </w:r>
    </w:p>
    <w:p w14:paraId="043F47A1" w14:textId="77777777" w:rsidR="00DC632F" w:rsidRDefault="00DC632F" w:rsidP="00DC632F">
      <w:pPr>
        <w:rPr>
          <w:sz w:val="22"/>
        </w:rPr>
      </w:pPr>
      <w:r>
        <w:rPr>
          <w:sz w:val="22"/>
        </w:rPr>
        <w:t>__________</w:t>
      </w:r>
      <w:proofErr w:type="gramStart"/>
      <w:r>
        <w:rPr>
          <w:sz w:val="22"/>
        </w:rPr>
        <w:t>_(</w:t>
      </w:r>
      <w:proofErr w:type="gramEnd"/>
      <w:r>
        <w:rPr>
          <w:sz w:val="22"/>
        </w:rPr>
        <w:t>1928) The Relations Between the Ego and the Unconscious CW7 para:202-406</w:t>
      </w:r>
    </w:p>
    <w:p w14:paraId="0AABAAE2" w14:textId="77777777" w:rsidR="00DC632F" w:rsidRDefault="00DC632F" w:rsidP="00DC632F">
      <w:pPr>
        <w:rPr>
          <w:sz w:val="22"/>
        </w:rPr>
      </w:pPr>
      <w:r>
        <w:rPr>
          <w:sz w:val="22"/>
        </w:rPr>
        <w:t>__________</w:t>
      </w:r>
      <w:proofErr w:type="gramStart"/>
      <w:r>
        <w:rPr>
          <w:sz w:val="22"/>
        </w:rPr>
        <w:t>_(</w:t>
      </w:r>
      <w:proofErr w:type="gramEnd"/>
      <w:r>
        <w:rPr>
          <w:sz w:val="22"/>
        </w:rPr>
        <w:t>1929)Commentary on  The Secret of the Golden Flower CW13 para:1-84 (Suggested)</w:t>
      </w:r>
    </w:p>
    <w:p w14:paraId="76C746D6" w14:textId="77777777" w:rsidR="00DC632F" w:rsidRDefault="00DC632F" w:rsidP="00DC632F">
      <w:pPr>
        <w:rPr>
          <w:sz w:val="22"/>
        </w:rPr>
      </w:pPr>
      <w:r>
        <w:rPr>
          <w:sz w:val="22"/>
        </w:rPr>
        <w:t>__________</w:t>
      </w:r>
      <w:proofErr w:type="gramStart"/>
      <w:r>
        <w:rPr>
          <w:sz w:val="22"/>
        </w:rPr>
        <w:t>_(</w:t>
      </w:r>
      <w:proofErr w:type="gramEnd"/>
      <w:r>
        <w:rPr>
          <w:sz w:val="22"/>
        </w:rPr>
        <w:t>1939) Conscious, Unconscious, Individuation. CW9i para:489-524</w:t>
      </w:r>
    </w:p>
    <w:p w14:paraId="55F57C6C" w14:textId="77777777" w:rsidR="00DC632F" w:rsidRDefault="00DC632F" w:rsidP="00DC632F">
      <w:pPr>
        <w:rPr>
          <w:sz w:val="22"/>
        </w:rPr>
      </w:pPr>
      <w:r>
        <w:rPr>
          <w:sz w:val="22"/>
        </w:rPr>
        <w:t>__________</w:t>
      </w:r>
      <w:proofErr w:type="gramStart"/>
      <w:r>
        <w:rPr>
          <w:sz w:val="22"/>
        </w:rPr>
        <w:t>_(</w:t>
      </w:r>
      <w:proofErr w:type="gramEnd"/>
      <w:r>
        <w:rPr>
          <w:sz w:val="22"/>
        </w:rPr>
        <w:t>1950) A Study in the Process of Individuation CW9i para:525-626 (Suggested)</w:t>
      </w:r>
    </w:p>
    <w:p w14:paraId="45B31EAA" w14:textId="77777777" w:rsidR="00DC632F" w:rsidRDefault="00DC632F" w:rsidP="00DC632F">
      <w:pPr>
        <w:rPr>
          <w:sz w:val="22"/>
        </w:rPr>
      </w:pPr>
      <w:r>
        <w:rPr>
          <w:sz w:val="22"/>
        </w:rPr>
        <w:t>__________</w:t>
      </w:r>
      <w:proofErr w:type="gramStart"/>
      <w:r>
        <w:rPr>
          <w:sz w:val="22"/>
        </w:rPr>
        <w:t>_(</w:t>
      </w:r>
      <w:proofErr w:type="gramEnd"/>
      <w:r>
        <w:rPr>
          <w:sz w:val="22"/>
        </w:rPr>
        <w:t>2009) The Red Book Readers Edition. Norton: NY, NY.</w:t>
      </w:r>
    </w:p>
    <w:p w14:paraId="03AC3B06" w14:textId="77777777" w:rsidR="00DC632F" w:rsidRDefault="00DC632F" w:rsidP="00DC632F">
      <w:pPr>
        <w:rPr>
          <w:sz w:val="22"/>
        </w:rPr>
      </w:pPr>
      <w:r>
        <w:rPr>
          <w:sz w:val="22"/>
        </w:rPr>
        <w:t>__________</w:t>
      </w:r>
      <w:proofErr w:type="gramStart"/>
      <w:r>
        <w:rPr>
          <w:sz w:val="22"/>
        </w:rPr>
        <w:t>_(</w:t>
      </w:r>
      <w:proofErr w:type="gramEnd"/>
      <w:r>
        <w:rPr>
          <w:sz w:val="22"/>
        </w:rPr>
        <w:t>2020) The Black Books. Norton: NY, NY.</w:t>
      </w:r>
    </w:p>
    <w:p w14:paraId="016111CD" w14:textId="77777777" w:rsidR="00DC632F" w:rsidRDefault="00DC632F" w:rsidP="00DC632F">
      <w:pPr>
        <w:rPr>
          <w:sz w:val="22"/>
        </w:rPr>
      </w:pPr>
      <w:r>
        <w:rPr>
          <w:sz w:val="22"/>
        </w:rPr>
        <w:t xml:space="preserve">Watkins, M.M. (1976) Waking Dreams </w:t>
      </w:r>
      <w:proofErr w:type="spellStart"/>
      <w:r>
        <w:rPr>
          <w:sz w:val="22"/>
        </w:rPr>
        <w:t>HarperColophon</w:t>
      </w:r>
      <w:proofErr w:type="spellEnd"/>
      <w:r>
        <w:rPr>
          <w:sz w:val="22"/>
        </w:rPr>
        <w:t xml:space="preserve">: </w:t>
      </w:r>
      <w:proofErr w:type="gramStart"/>
      <w:r>
        <w:rPr>
          <w:sz w:val="22"/>
        </w:rPr>
        <w:t>NY,NY</w:t>
      </w:r>
      <w:proofErr w:type="gramEnd"/>
    </w:p>
    <w:p w14:paraId="03F496EE" w14:textId="77777777" w:rsidR="00DC632F" w:rsidRDefault="00DC632F" w:rsidP="00DC632F">
      <w:pPr>
        <w:rPr>
          <w:sz w:val="22"/>
        </w:rPr>
      </w:pPr>
    </w:p>
    <w:p w14:paraId="594ED771" w14:textId="77777777" w:rsidR="00DC632F" w:rsidRDefault="00DC632F" w:rsidP="00DC632F">
      <w:pPr>
        <w:widowControl w:val="0"/>
        <w:autoSpaceDE w:val="0"/>
        <w:autoSpaceDN w:val="0"/>
        <w:adjustRightInd w:val="0"/>
        <w:rPr>
          <w:rFonts w:ascii="Helvetica" w:hAnsi="Helvetica" w:cs="Helvetica"/>
          <w:b/>
          <w:sz w:val="30"/>
          <w:szCs w:val="30"/>
        </w:rPr>
      </w:pPr>
    </w:p>
    <w:p w14:paraId="40ABEB1E" w14:textId="77777777" w:rsidR="00DC632F" w:rsidRDefault="00DC632F" w:rsidP="00DC632F">
      <w:pPr>
        <w:widowControl w:val="0"/>
        <w:autoSpaceDE w:val="0"/>
        <w:autoSpaceDN w:val="0"/>
        <w:adjustRightInd w:val="0"/>
        <w:rPr>
          <w:rFonts w:ascii="Helvetica" w:hAnsi="Helvetica" w:cs="Helvetica"/>
          <w:sz w:val="30"/>
          <w:szCs w:val="30"/>
        </w:rPr>
      </w:pPr>
      <w:r w:rsidRPr="00702183">
        <w:rPr>
          <w:rFonts w:ascii="Helvetica" w:hAnsi="Helvetica" w:cs="Helvetica"/>
          <w:b/>
          <w:sz w:val="30"/>
          <w:szCs w:val="30"/>
        </w:rPr>
        <w:t>Requirements</w:t>
      </w:r>
      <w:r>
        <w:rPr>
          <w:rFonts w:ascii="Helvetica" w:hAnsi="Helvetica" w:cs="Helvetica"/>
          <w:sz w:val="30"/>
          <w:szCs w:val="30"/>
        </w:rPr>
        <w:t>:</w:t>
      </w:r>
    </w:p>
    <w:p w14:paraId="1E67A90E" w14:textId="77777777" w:rsidR="00DC632F" w:rsidRDefault="00DC632F" w:rsidP="00DC632F">
      <w:pPr>
        <w:widowControl w:val="0"/>
        <w:autoSpaceDE w:val="0"/>
        <w:autoSpaceDN w:val="0"/>
        <w:adjustRightInd w:val="0"/>
        <w:rPr>
          <w:rFonts w:ascii="Helvetica" w:hAnsi="Helvetica" w:cs="Helvetica"/>
          <w:b/>
          <w:sz w:val="30"/>
          <w:szCs w:val="30"/>
        </w:rPr>
      </w:pPr>
    </w:p>
    <w:p w14:paraId="09CD38AF" w14:textId="77777777" w:rsidR="00DC632F" w:rsidRDefault="00DC632F" w:rsidP="00DC632F">
      <w:pPr>
        <w:widowControl w:val="0"/>
        <w:autoSpaceDE w:val="0"/>
        <w:autoSpaceDN w:val="0"/>
        <w:adjustRightInd w:val="0"/>
        <w:rPr>
          <w:rFonts w:ascii="Helvetica" w:hAnsi="Helvetica" w:cs="Helvetica"/>
          <w:sz w:val="30"/>
          <w:szCs w:val="30"/>
        </w:rPr>
      </w:pPr>
      <w:r>
        <w:rPr>
          <w:rFonts w:ascii="Helvetica" w:hAnsi="Helvetica" w:cs="Helvetica"/>
          <w:b/>
          <w:sz w:val="30"/>
          <w:szCs w:val="30"/>
        </w:rPr>
        <w:tab/>
      </w:r>
      <w:r>
        <w:rPr>
          <w:rFonts w:ascii="Helvetica" w:hAnsi="Helvetica" w:cs="Helvetica"/>
          <w:sz w:val="30"/>
          <w:szCs w:val="30"/>
        </w:rPr>
        <w:t xml:space="preserve">There is an experiential element dictated by the course material. There is a requirement to document impressions, experiences, concerns as the course material is engaged. This is a personal and private endeavor. It is not shared or graded but the practice is essential to what the course is trying to teach. </w:t>
      </w:r>
    </w:p>
    <w:p w14:paraId="210446B3" w14:textId="77777777" w:rsidR="00DC632F" w:rsidRDefault="00DC632F" w:rsidP="00DC632F">
      <w:pPr>
        <w:widowControl w:val="0"/>
        <w:autoSpaceDE w:val="0"/>
        <w:autoSpaceDN w:val="0"/>
        <w:adjustRightInd w:val="0"/>
        <w:rPr>
          <w:rFonts w:ascii="Helvetica" w:hAnsi="Helvetica" w:cs="Helvetica"/>
          <w:sz w:val="30"/>
          <w:szCs w:val="30"/>
        </w:rPr>
      </w:pPr>
      <w:r>
        <w:rPr>
          <w:rFonts w:ascii="Helvetica" w:hAnsi="Helvetica" w:cs="Helvetica"/>
          <w:sz w:val="30"/>
          <w:szCs w:val="30"/>
        </w:rPr>
        <w:tab/>
        <w:t xml:space="preserve">There will be two graded assignments, 1) Midterm exam focused on the historical aspects of imaginative and meditative techniques (40%); 2) Final assignment focused on the traditional western suspicions of “occult” studies (40%). Class attendance and participation 20%. </w:t>
      </w:r>
    </w:p>
    <w:p w14:paraId="3C19128D" w14:textId="77777777" w:rsidR="00DC632F" w:rsidRDefault="00DC632F" w:rsidP="00DC632F">
      <w:pPr>
        <w:rPr>
          <w:sz w:val="22"/>
        </w:rPr>
      </w:pPr>
    </w:p>
    <w:p w14:paraId="28E976AD" w14:textId="77777777" w:rsidR="00DC632F" w:rsidRDefault="00DC632F" w:rsidP="00DC632F"/>
    <w:p w14:paraId="1F7AA151" w14:textId="77777777" w:rsidR="00DC632F" w:rsidRDefault="00DC632F" w:rsidP="00DC632F"/>
    <w:p w14:paraId="3E8B6B6E" w14:textId="77777777" w:rsidR="00DC632F" w:rsidRDefault="00DC632F" w:rsidP="00DC632F"/>
    <w:p w14:paraId="05A52DFC" w14:textId="77777777" w:rsidR="00DC632F" w:rsidRDefault="00DC632F" w:rsidP="00DC632F">
      <w:r>
        <w:t>Class Schedule</w:t>
      </w:r>
    </w:p>
    <w:p w14:paraId="2CE1D9EA" w14:textId="77777777" w:rsidR="00DC632F" w:rsidRDefault="00DC632F" w:rsidP="00DC632F"/>
    <w:p w14:paraId="6F71B6C7" w14:textId="77777777" w:rsidR="00DC632F" w:rsidRDefault="00DC632F" w:rsidP="00DC632F">
      <w:proofErr w:type="gramStart"/>
      <w:r>
        <w:t>!/</w:t>
      </w:r>
      <w:proofErr w:type="gramEnd"/>
      <w:r>
        <w:t>20/22</w:t>
      </w:r>
      <w:r>
        <w:tab/>
      </w:r>
      <w:r>
        <w:tab/>
        <w:t>Overview of Analytical Psychology</w:t>
      </w:r>
    </w:p>
    <w:p w14:paraId="787DE926" w14:textId="77777777" w:rsidR="00DC632F" w:rsidRDefault="00DC632F" w:rsidP="00DC632F">
      <w:r>
        <w:tab/>
      </w:r>
      <w:r>
        <w:tab/>
      </w:r>
      <w:r>
        <w:tab/>
        <w:t>Organization of Journal</w:t>
      </w:r>
    </w:p>
    <w:p w14:paraId="11665690" w14:textId="77777777" w:rsidR="00DC632F" w:rsidRDefault="00DC632F" w:rsidP="00DC632F"/>
    <w:p w14:paraId="1E137A40" w14:textId="77777777" w:rsidR="00DC632F" w:rsidRDefault="00DC632F" w:rsidP="00DC632F">
      <w:r>
        <w:t>1/27/22-2/3/22</w:t>
      </w:r>
      <w:r>
        <w:tab/>
        <w:t xml:space="preserve">Visions and Transformations: Shamanism, Myths of Acteon and </w:t>
      </w:r>
      <w:proofErr w:type="spellStart"/>
      <w:r>
        <w:t>Teiresius</w:t>
      </w:r>
      <w:proofErr w:type="spellEnd"/>
      <w:r>
        <w:t xml:space="preserve">, </w:t>
      </w:r>
      <w:r>
        <w:tab/>
      </w:r>
      <w:r>
        <w:tab/>
      </w:r>
      <w:r>
        <w:tab/>
      </w:r>
      <w:r>
        <w:tab/>
        <w:t xml:space="preserve">Poetry </w:t>
      </w:r>
      <w:r>
        <w:tab/>
        <w:t xml:space="preserve">of Rumi, Sermons of Eckhardt, Goethe’s Science, Blakes Fourfold </w:t>
      </w:r>
      <w:r>
        <w:tab/>
      </w:r>
      <w:r>
        <w:tab/>
      </w:r>
      <w:r>
        <w:tab/>
      </w:r>
      <w:r>
        <w:tab/>
        <w:t>Vision</w:t>
      </w:r>
    </w:p>
    <w:p w14:paraId="6C45BBF8" w14:textId="77777777" w:rsidR="00DC632F" w:rsidRDefault="00DC632F" w:rsidP="00DC632F">
      <w:r>
        <w:tab/>
      </w:r>
      <w:r>
        <w:tab/>
      </w:r>
      <w:r>
        <w:tab/>
        <w:t>Reading: Analytical Psychology p. 1-52; Eliade passim; Watkins</w:t>
      </w:r>
    </w:p>
    <w:p w14:paraId="4A490750" w14:textId="77777777" w:rsidR="00DC632F" w:rsidRDefault="00DC632F" w:rsidP="00DC632F"/>
    <w:p w14:paraId="6EAA6964" w14:textId="77777777" w:rsidR="00DC632F" w:rsidRDefault="00DC632F" w:rsidP="00DC632F">
      <w:r>
        <w:t>2/10/22</w:t>
      </w:r>
      <w:r>
        <w:tab/>
      </w:r>
      <w:r>
        <w:tab/>
        <w:t>Personality #1/Personality #2</w:t>
      </w:r>
    </w:p>
    <w:p w14:paraId="1A9A1FA9" w14:textId="77777777" w:rsidR="00DC632F" w:rsidRDefault="00DC632F" w:rsidP="00DC632F">
      <w:r>
        <w:tab/>
      </w:r>
      <w:r>
        <w:tab/>
      </w:r>
      <w:r>
        <w:tab/>
        <w:t>Readings: MDR p. 3-83</w:t>
      </w:r>
    </w:p>
    <w:p w14:paraId="25BD5377" w14:textId="77777777" w:rsidR="00DC632F" w:rsidRDefault="00DC632F" w:rsidP="00DC632F"/>
    <w:p w14:paraId="6B37B121" w14:textId="77777777" w:rsidR="00DC632F" w:rsidRDefault="00DC632F" w:rsidP="00DC632F">
      <w:r>
        <w:lastRenderedPageBreak/>
        <w:t>2/17/22-2/24/22</w:t>
      </w:r>
      <w:r>
        <w:tab/>
      </w:r>
      <w:r>
        <w:tab/>
        <w:t>“Freud”</w:t>
      </w:r>
    </w:p>
    <w:p w14:paraId="529321F8" w14:textId="77777777" w:rsidR="00DC632F" w:rsidRDefault="00DC632F" w:rsidP="00DC632F">
      <w:r>
        <w:tab/>
      </w:r>
      <w:r>
        <w:tab/>
      </w:r>
      <w:r>
        <w:tab/>
        <w:t xml:space="preserve">Readings: MDR p. 84-169; 361-364; Greenwald; </w:t>
      </w:r>
      <w:proofErr w:type="spellStart"/>
      <w:r>
        <w:t>Gymesi</w:t>
      </w:r>
      <w:proofErr w:type="spellEnd"/>
    </w:p>
    <w:p w14:paraId="718AFEFB" w14:textId="77777777" w:rsidR="00DC632F" w:rsidRDefault="00DC632F" w:rsidP="00DC632F"/>
    <w:p w14:paraId="7C64E5DB" w14:textId="77777777" w:rsidR="00DC632F" w:rsidRDefault="00DC632F" w:rsidP="00DC632F">
      <w:r>
        <w:t>3/3/22</w:t>
      </w:r>
      <w:r>
        <w:tab/>
      </w:r>
      <w:r>
        <w:tab/>
      </w:r>
      <w:r>
        <w:tab/>
        <w:t>Confrontation with the Unconscious</w:t>
      </w:r>
    </w:p>
    <w:p w14:paraId="45D2FA5E" w14:textId="77777777" w:rsidR="00DC632F" w:rsidRDefault="00DC632F" w:rsidP="00DC632F">
      <w:r>
        <w:tab/>
      </w:r>
      <w:r>
        <w:tab/>
      </w:r>
      <w:r>
        <w:tab/>
        <w:t>Readings MDR p 170-199</w:t>
      </w:r>
    </w:p>
    <w:p w14:paraId="49DBD312" w14:textId="77777777" w:rsidR="00DC632F" w:rsidRDefault="00DC632F" w:rsidP="00DC632F"/>
    <w:p w14:paraId="113D3B19" w14:textId="77777777" w:rsidR="00DC632F" w:rsidRDefault="00DC632F" w:rsidP="00DC632F">
      <w:r>
        <w:t>3/10/22</w:t>
      </w:r>
      <w:r>
        <w:tab/>
      </w:r>
      <w:r>
        <w:tab/>
        <w:t>The Work</w:t>
      </w:r>
    </w:p>
    <w:p w14:paraId="7510F496" w14:textId="77777777" w:rsidR="00DC632F" w:rsidRDefault="00DC632F" w:rsidP="00DC632F">
      <w:r>
        <w:tab/>
      </w:r>
      <w:r>
        <w:tab/>
      </w:r>
      <w:r>
        <w:tab/>
        <w:t xml:space="preserve">Readings MDR 200-359; </w:t>
      </w:r>
      <w:proofErr w:type="spellStart"/>
      <w:r>
        <w:t>Ehrenzweig</w:t>
      </w:r>
      <w:proofErr w:type="spellEnd"/>
      <w:r>
        <w:t>; Ellenberger</w:t>
      </w:r>
    </w:p>
    <w:p w14:paraId="26841BC6" w14:textId="77777777" w:rsidR="00DC632F" w:rsidRDefault="00DC632F" w:rsidP="00DC632F"/>
    <w:p w14:paraId="352A4961" w14:textId="77777777" w:rsidR="00DC632F" w:rsidRDefault="00DC632F" w:rsidP="00DC632F">
      <w:r>
        <w:t xml:space="preserve">3/17/22 </w:t>
      </w:r>
      <w:r>
        <w:tab/>
      </w:r>
      <w:r>
        <w:tab/>
        <w:t>BREAK</w:t>
      </w:r>
    </w:p>
    <w:p w14:paraId="324DEEE6" w14:textId="77777777" w:rsidR="00DC632F" w:rsidRDefault="00DC632F" w:rsidP="00DC632F"/>
    <w:p w14:paraId="72D2AD2B" w14:textId="77777777" w:rsidR="00DC632F" w:rsidRDefault="00DC632F" w:rsidP="00DC632F">
      <w:r>
        <w:t>3/24/21-4/21/22</w:t>
      </w:r>
      <w:r>
        <w:tab/>
        <w:t>The Black Book/The Red Book</w:t>
      </w:r>
    </w:p>
    <w:p w14:paraId="174A2CA1" w14:textId="77777777" w:rsidR="00DC632F" w:rsidRDefault="00DC632F" w:rsidP="00DC632F"/>
    <w:p w14:paraId="139EE672" w14:textId="77777777" w:rsidR="00DC632F" w:rsidRDefault="00DC632F" w:rsidP="00DC632F">
      <w:r>
        <w:t>4/28/22</w:t>
      </w:r>
      <w:r>
        <w:tab/>
      </w:r>
      <w:r>
        <w:tab/>
        <w:t>Theory</w:t>
      </w:r>
    </w:p>
    <w:p w14:paraId="51FB619B" w14:textId="77777777" w:rsidR="00DC632F" w:rsidRDefault="00DC632F" w:rsidP="00DC632F">
      <w:r>
        <w:tab/>
      </w:r>
      <w:r>
        <w:tab/>
      </w:r>
      <w:r>
        <w:tab/>
        <w:t xml:space="preserve">Readings: Jung: Conscious, Unconscious, Individuation, The Transcendent </w:t>
      </w:r>
      <w:r>
        <w:tab/>
      </w:r>
      <w:r>
        <w:tab/>
      </w:r>
      <w:r>
        <w:tab/>
        <w:t xml:space="preserve">Function, Two Essays in Analytical Psychology; A Psychological View of </w:t>
      </w:r>
      <w:r>
        <w:tab/>
      </w:r>
      <w:r>
        <w:tab/>
      </w:r>
      <w:r>
        <w:tab/>
      </w:r>
      <w:r>
        <w:tab/>
        <w:t xml:space="preserve">Conscience </w:t>
      </w:r>
    </w:p>
    <w:p w14:paraId="024D68A7" w14:textId="77777777" w:rsidR="00DC632F" w:rsidRDefault="00DC632F" w:rsidP="00DC632F">
      <w:pPr>
        <w:rPr>
          <w:b/>
          <w:u w:val="single"/>
        </w:rPr>
      </w:pPr>
    </w:p>
    <w:p w14:paraId="1DB819B4" w14:textId="77777777" w:rsidR="00DC632F" w:rsidRDefault="00DC632F" w:rsidP="00DC632F">
      <w:pPr>
        <w:rPr>
          <w:b/>
          <w:u w:val="single"/>
        </w:rPr>
      </w:pPr>
    </w:p>
    <w:p w14:paraId="475EC26F" w14:textId="77777777" w:rsidR="00DC632F" w:rsidRDefault="00DC632F" w:rsidP="00DC632F">
      <w:pPr>
        <w:rPr>
          <w:b/>
          <w:u w:val="single"/>
        </w:rPr>
      </w:pPr>
    </w:p>
    <w:p w14:paraId="1404E196" w14:textId="77777777" w:rsidR="00DC632F" w:rsidRDefault="00DC632F" w:rsidP="00DC632F">
      <w:pPr>
        <w:rPr>
          <w:b/>
          <w:u w:val="single"/>
        </w:rPr>
      </w:pPr>
    </w:p>
    <w:p w14:paraId="60374229" w14:textId="77777777" w:rsidR="00DC632F" w:rsidRDefault="00DC632F" w:rsidP="00DC632F">
      <w:pPr>
        <w:rPr>
          <w:b/>
          <w:u w:val="single"/>
        </w:rPr>
      </w:pPr>
    </w:p>
    <w:p w14:paraId="5B8EEB8C" w14:textId="77777777" w:rsidR="00DC632F" w:rsidRDefault="00DC632F" w:rsidP="00DC632F">
      <w:pPr>
        <w:rPr>
          <w:b/>
          <w:u w:val="single"/>
        </w:rPr>
      </w:pPr>
    </w:p>
    <w:p w14:paraId="33DC4802" w14:textId="42F2114F" w:rsidR="00DC632F" w:rsidRPr="0031651A" w:rsidRDefault="00DC632F" w:rsidP="00DC632F">
      <w:pPr>
        <w:rPr>
          <w:b/>
          <w:u w:val="single"/>
        </w:rPr>
      </w:pPr>
      <w:r w:rsidRPr="0031651A">
        <w:rPr>
          <w:b/>
          <w:u w:val="single"/>
        </w:rPr>
        <w:t>Administrative Information:</w:t>
      </w:r>
    </w:p>
    <w:p w14:paraId="24C34042" w14:textId="77777777" w:rsidR="00DC632F" w:rsidRDefault="00DC632F" w:rsidP="00DC632F"/>
    <w:p w14:paraId="7184DB0C" w14:textId="77777777" w:rsidR="00DC632F" w:rsidRDefault="00DC632F" w:rsidP="00DC632F"/>
    <w:p w14:paraId="10D4489C" w14:textId="77777777" w:rsidR="00DC632F" w:rsidRDefault="00DC632F" w:rsidP="00DC632F">
      <w:pPr>
        <w:widowControl w:val="0"/>
        <w:autoSpaceDE w:val="0"/>
        <w:autoSpaceDN w:val="0"/>
        <w:adjustRightInd w:val="0"/>
        <w:spacing w:after="240" w:line="360" w:lineRule="atLeast"/>
        <w:rPr>
          <w:rFonts w:ascii="Times" w:hAnsi="Times" w:cs="Times"/>
        </w:rPr>
      </w:pPr>
      <w:r>
        <w:rPr>
          <w:sz w:val="32"/>
          <w:szCs w:val="32"/>
        </w:rPr>
        <w:t xml:space="preserve">1. </w:t>
      </w:r>
      <w:r>
        <w:rPr>
          <w:rFonts w:ascii="Times" w:hAnsi="Times" w:cs="Times"/>
          <w:b/>
          <w:bCs/>
          <w:sz w:val="32"/>
          <w:szCs w:val="32"/>
        </w:rPr>
        <w:t xml:space="preserve">Accommodations </w:t>
      </w:r>
      <w:r>
        <w:rPr>
          <w:sz w:val="32"/>
          <w:szCs w:val="32"/>
        </w:rPr>
        <w:t xml:space="preserve">– The College will make reasonable accommodations for persons with documented disabilities. Students are encouraged to contact the Office of Access and Services for Individuals with Disabilities (OASID) for information about registration. You can reach OASID by email at oasid@tc.columbia.edu, stop by 163 Thorndike Hall or call 212-678-3689. Services are available only to students who have registered and submit appropriate documentation. As your instructor, I am happy to discuss specific needs with you as well. Please report any access related concerns about instructional material to OASID and to me as your instructor. </w:t>
      </w:r>
    </w:p>
    <w:p w14:paraId="3AF235DB" w14:textId="77777777" w:rsidR="00DC632F" w:rsidRDefault="00DC632F" w:rsidP="00DC632F">
      <w:pPr>
        <w:widowControl w:val="0"/>
        <w:autoSpaceDE w:val="0"/>
        <w:autoSpaceDN w:val="0"/>
        <w:adjustRightInd w:val="0"/>
        <w:spacing w:after="240" w:line="360" w:lineRule="atLeast"/>
        <w:rPr>
          <w:rFonts w:ascii="Times" w:hAnsi="Times" w:cs="Times"/>
        </w:rPr>
      </w:pPr>
      <w:r>
        <w:rPr>
          <w:sz w:val="32"/>
          <w:szCs w:val="32"/>
        </w:rPr>
        <w:t xml:space="preserve">2. </w:t>
      </w:r>
      <w:r>
        <w:rPr>
          <w:rFonts w:ascii="Times" w:hAnsi="Times" w:cs="Times"/>
          <w:b/>
          <w:bCs/>
          <w:sz w:val="32"/>
          <w:szCs w:val="32"/>
        </w:rPr>
        <w:t xml:space="preserve">Incomplete Grades </w:t>
      </w:r>
      <w:r>
        <w:rPr>
          <w:sz w:val="32"/>
          <w:szCs w:val="32"/>
        </w:rPr>
        <w:t xml:space="preserve">– For the full text of the Incomplete Grade policy please refer to </w:t>
      </w:r>
      <w:r>
        <w:rPr>
          <w:color w:val="0000FF"/>
          <w:sz w:val="32"/>
          <w:szCs w:val="32"/>
        </w:rPr>
        <w:t xml:space="preserve">http://www.tc.columbia.edu/policylibrary/Incomplete Grades </w:t>
      </w:r>
    </w:p>
    <w:p w14:paraId="7908DA56" w14:textId="77777777" w:rsidR="00DC632F" w:rsidRDefault="00DC632F" w:rsidP="00DC632F">
      <w:pPr>
        <w:widowControl w:val="0"/>
        <w:autoSpaceDE w:val="0"/>
        <w:autoSpaceDN w:val="0"/>
        <w:adjustRightInd w:val="0"/>
        <w:spacing w:after="240" w:line="360" w:lineRule="atLeast"/>
        <w:rPr>
          <w:rFonts w:ascii="Times" w:hAnsi="Times" w:cs="Times"/>
        </w:rPr>
      </w:pPr>
      <w:r>
        <w:rPr>
          <w:sz w:val="32"/>
          <w:szCs w:val="32"/>
        </w:rPr>
        <w:lastRenderedPageBreak/>
        <w:t xml:space="preserve">3. </w:t>
      </w:r>
      <w:r>
        <w:rPr>
          <w:rFonts w:ascii="Times" w:hAnsi="Times" w:cs="Times"/>
          <w:b/>
          <w:bCs/>
          <w:sz w:val="32"/>
          <w:szCs w:val="32"/>
        </w:rPr>
        <w:t xml:space="preserve">Student Responsibility for Monitoring TC email account </w:t>
      </w:r>
      <w:r>
        <w:rPr>
          <w:sz w:val="32"/>
          <w:szCs w:val="32"/>
        </w:rPr>
        <w:t xml:space="preserve">– Students are expected to monitor their TC email accounts. For the full text of the Student Responsibility for Monitoring TC email account please refer to </w:t>
      </w:r>
      <w:r>
        <w:rPr>
          <w:color w:val="0000FF"/>
          <w:sz w:val="32"/>
          <w:szCs w:val="32"/>
        </w:rPr>
        <w:t xml:space="preserve">http://www.tc.columbia.edu/policylibrary/Student Responsibility for Monitoring TC Email Account </w:t>
      </w:r>
    </w:p>
    <w:p w14:paraId="63AD15E4" w14:textId="77777777" w:rsidR="00DC632F" w:rsidRDefault="00DC632F" w:rsidP="00DC632F">
      <w:pPr>
        <w:widowControl w:val="0"/>
        <w:autoSpaceDE w:val="0"/>
        <w:autoSpaceDN w:val="0"/>
        <w:adjustRightInd w:val="0"/>
        <w:spacing w:after="240" w:line="360" w:lineRule="atLeast"/>
        <w:rPr>
          <w:rFonts w:ascii="Times" w:hAnsi="Times" w:cs="Times"/>
        </w:rPr>
      </w:pPr>
      <w:r>
        <w:rPr>
          <w:sz w:val="32"/>
          <w:szCs w:val="32"/>
        </w:rPr>
        <w:t xml:space="preserve">4. </w:t>
      </w:r>
      <w:r>
        <w:rPr>
          <w:rFonts w:ascii="Times" w:hAnsi="Times" w:cs="Times"/>
          <w:b/>
          <w:bCs/>
          <w:sz w:val="32"/>
          <w:szCs w:val="32"/>
        </w:rPr>
        <w:t xml:space="preserve">Religious Observance </w:t>
      </w:r>
      <w:r>
        <w:rPr>
          <w:sz w:val="32"/>
          <w:szCs w:val="32"/>
        </w:rPr>
        <w:t xml:space="preserve">– For the full text of the Religious Observance policy, please refer to </w:t>
      </w:r>
      <w:r>
        <w:rPr>
          <w:color w:val="0000FF"/>
          <w:sz w:val="32"/>
          <w:szCs w:val="32"/>
        </w:rPr>
        <w:t xml:space="preserve">http://www.tc.columbia.edu/policylibrary/provost/religious-observance/ </w:t>
      </w:r>
    </w:p>
    <w:p w14:paraId="022DC764" w14:textId="77777777" w:rsidR="00DC632F" w:rsidRDefault="00DC632F" w:rsidP="00DC632F">
      <w:pPr>
        <w:widowControl w:val="0"/>
        <w:autoSpaceDE w:val="0"/>
        <w:autoSpaceDN w:val="0"/>
        <w:adjustRightInd w:val="0"/>
        <w:spacing w:after="240" w:line="360" w:lineRule="atLeast"/>
        <w:rPr>
          <w:rFonts w:ascii="Times" w:hAnsi="Times" w:cs="Times"/>
        </w:rPr>
      </w:pPr>
      <w:r>
        <w:rPr>
          <w:sz w:val="32"/>
          <w:szCs w:val="32"/>
        </w:rPr>
        <w:t xml:space="preserve">5. </w:t>
      </w:r>
      <w:r>
        <w:rPr>
          <w:rFonts w:ascii="Times" w:hAnsi="Times" w:cs="Times"/>
          <w:b/>
          <w:bCs/>
          <w:sz w:val="32"/>
          <w:szCs w:val="32"/>
        </w:rPr>
        <w:t xml:space="preserve">Sexual Harassment and Violence Reporting </w:t>
      </w:r>
      <w:r>
        <w:rPr>
          <w:sz w:val="32"/>
          <w:szCs w:val="32"/>
        </w:rPr>
        <w:t>– Teachers College is committed to maintaining a safe environment for students.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the Title IX Coordinator, Janice</w:t>
      </w:r>
      <w:r>
        <w:rPr>
          <w:rFonts w:ascii="MS Gothic" w:eastAsia="MS Gothic" w:hAnsi="MS Gothic" w:cs="MS Gothic" w:hint="eastAsia"/>
          <w:sz w:val="32"/>
          <w:szCs w:val="32"/>
        </w:rPr>
        <w:t> </w:t>
      </w:r>
      <w:r>
        <w:rPr>
          <w:sz w:val="32"/>
          <w:szCs w:val="32"/>
        </w:rPr>
        <w:t xml:space="preserve">Robinson. She will treat this information as private, but will need to follow up with you and possibly look into the matter. The </w:t>
      </w:r>
      <w:proofErr w:type="spellStart"/>
      <w:r>
        <w:rPr>
          <w:sz w:val="32"/>
          <w:szCs w:val="32"/>
        </w:rPr>
        <w:t>Ombuds</w:t>
      </w:r>
      <w:proofErr w:type="spellEnd"/>
      <w:r>
        <w:rPr>
          <w:sz w:val="32"/>
          <w:szCs w:val="32"/>
        </w:rPr>
        <w:t xml:space="preserve"> officer for Gender-Based Misconduct is a confidential resource available for students, staff and faculty. “Gender-based misconduct” includes sexual assault, stalking, sexual harassment, dating violence, domestic violence, sexual exploitation, and gender-based harassment. For more information,</w:t>
      </w:r>
      <w:r>
        <w:rPr>
          <w:rFonts w:ascii="MS Gothic" w:eastAsia="MS Gothic" w:hAnsi="MS Gothic" w:cs="MS Gothic" w:hint="eastAsia"/>
          <w:sz w:val="32"/>
          <w:szCs w:val="32"/>
        </w:rPr>
        <w:t> </w:t>
      </w:r>
      <w:r>
        <w:rPr>
          <w:sz w:val="32"/>
          <w:szCs w:val="32"/>
        </w:rPr>
        <w:t xml:space="preserve">see </w:t>
      </w:r>
      <w:r>
        <w:rPr>
          <w:color w:val="0000FF"/>
          <w:sz w:val="32"/>
          <w:szCs w:val="32"/>
        </w:rPr>
        <w:t xml:space="preserve">http://www.tc.columbia.edu/titleix </w:t>
      </w:r>
    </w:p>
    <w:p w14:paraId="3146E899" w14:textId="77777777" w:rsidR="00DC632F" w:rsidRDefault="00DC632F" w:rsidP="00DC632F">
      <w:pPr>
        <w:widowControl w:val="0"/>
        <w:autoSpaceDE w:val="0"/>
        <w:autoSpaceDN w:val="0"/>
        <w:adjustRightInd w:val="0"/>
        <w:spacing w:after="240" w:line="360" w:lineRule="atLeast"/>
        <w:rPr>
          <w:rFonts w:ascii="Times" w:hAnsi="Times" w:cs="Times"/>
        </w:rPr>
      </w:pPr>
      <w:r>
        <w:rPr>
          <w:sz w:val="32"/>
          <w:szCs w:val="32"/>
        </w:rPr>
        <w:t xml:space="preserve">Students who intentionally submit work either not their own or without clear attribution to the original source, fabricate data or other information, engage in cheating, or misrepresentation of academic records may be subject to charges. Sanctions may include dismissal from the college for violation of the TC principles of academic and professional integrity fundamental to the purpose of the College. </w:t>
      </w:r>
    </w:p>
    <w:p w14:paraId="085601F1" w14:textId="77777777" w:rsidR="00DC632F" w:rsidRDefault="00DC632F" w:rsidP="00DC632F">
      <w:pPr>
        <w:widowControl w:val="0"/>
        <w:autoSpaceDE w:val="0"/>
        <w:autoSpaceDN w:val="0"/>
        <w:adjustRightInd w:val="0"/>
        <w:spacing w:after="240" w:line="360" w:lineRule="atLeast"/>
      </w:pPr>
      <w:r>
        <w:rPr>
          <w:sz w:val="32"/>
          <w:szCs w:val="32"/>
        </w:rPr>
        <w:t xml:space="preserve">Copies of all syllabi must be provided to the department’s Director of </w:t>
      </w:r>
      <w:r>
        <w:rPr>
          <w:sz w:val="32"/>
          <w:szCs w:val="32"/>
        </w:rPr>
        <w:lastRenderedPageBreak/>
        <w:t xml:space="preserve">Academic Administration. A course syllabus is distributed only to students enrolled in the course or to potential students. All other requests for copies of syllabi should be granted only with the permission of the instructor. </w:t>
      </w:r>
    </w:p>
    <w:p w14:paraId="51900405" w14:textId="77777777" w:rsidR="003B3256" w:rsidRDefault="00DC632F"/>
    <w:sectPr w:rsidR="003B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F6019"/>
    <w:multiLevelType w:val="hybridMultilevel"/>
    <w:tmpl w:val="95125AE4"/>
    <w:lvl w:ilvl="0" w:tplc="1444D79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2F"/>
    <w:rsid w:val="002756A2"/>
    <w:rsid w:val="00A93185"/>
    <w:rsid w:val="00DC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58E43"/>
  <w15:chartTrackingRefBased/>
  <w15:docId w15:val="{9B341270-E478-BB45-83BE-DD3E479E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2F"/>
    <w:pPr>
      <w:ind w:left="720"/>
      <w:contextualSpacing/>
    </w:pPr>
  </w:style>
  <w:style w:type="character" w:styleId="Hyperlink">
    <w:name w:val="Hyperlink"/>
    <w:basedOn w:val="DefaultParagraphFont"/>
    <w:uiPriority w:val="99"/>
    <w:unhideWhenUsed/>
    <w:rsid w:val="00DC632F"/>
    <w:rPr>
      <w:color w:val="0000FF"/>
      <w:u w:val="single"/>
    </w:rPr>
  </w:style>
  <w:style w:type="character" w:customStyle="1" w:styleId="apple-converted-space">
    <w:name w:val="apple-converted-space"/>
    <w:basedOn w:val="DefaultParagraphFont"/>
    <w:rsid w:val="00DC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e.jhu.edu/article/376282/pdf" TargetMode="External"/><Relationship Id="rId5" Type="http://schemas.openxmlformats.org/officeDocument/2006/relationships/hyperlink" Target="mailto:mfk8@Tc.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Kuras</dc:creator>
  <cp:keywords/>
  <dc:description/>
  <cp:lastModifiedBy>Mark Kuras</cp:lastModifiedBy>
  <cp:revision>1</cp:revision>
  <dcterms:created xsi:type="dcterms:W3CDTF">2022-01-02T17:09:00Z</dcterms:created>
  <dcterms:modified xsi:type="dcterms:W3CDTF">2022-01-02T17:10:00Z</dcterms:modified>
</cp:coreProperties>
</file>