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2905" w:type="dxa"/>
        <w:tblLook w:val="04A0" w:firstRow="1" w:lastRow="0" w:firstColumn="1" w:lastColumn="0" w:noHBand="0" w:noVBand="1"/>
      </w:tblPr>
      <w:tblGrid>
        <w:gridCol w:w="12895"/>
        <w:gridCol w:w="10"/>
      </w:tblGrid>
      <w:tr w:rsidR="00D0515B" w:rsidRPr="00EA4C4D" w14:paraId="43B8376E" w14:textId="77777777" w:rsidTr="0018001D">
        <w:trPr>
          <w:trHeight w:val="545"/>
        </w:trPr>
        <w:tc>
          <w:tcPr>
            <w:tcW w:w="12905" w:type="dxa"/>
            <w:gridSpan w:val="2"/>
            <w:shd w:val="clear" w:color="auto" w:fill="003B5C"/>
            <w:vAlign w:val="center"/>
          </w:tcPr>
          <w:p w14:paraId="764EAFB9" w14:textId="0D613935" w:rsidR="000F4A87" w:rsidRPr="00EA4C4D" w:rsidRDefault="00B75695" w:rsidP="00BD1DAD">
            <w:pPr>
              <w:spacing w:line="276" w:lineRule="auto"/>
              <w:jc w:val="center"/>
              <w:rPr>
                <w:rFonts w:ascii="Garamond" w:hAnsi="Garamond"/>
                <w:b/>
                <w:sz w:val="22"/>
                <w:szCs w:val="22"/>
              </w:rPr>
            </w:pPr>
            <w:r w:rsidRPr="00EA4C4D">
              <w:rPr>
                <w:rFonts w:ascii="Garamond" w:hAnsi="Garamond"/>
                <w:b/>
                <w:sz w:val="22"/>
                <w:szCs w:val="22"/>
              </w:rPr>
              <w:t xml:space="preserve">COMPARE TC CAMPUS ACCESS REQUIREMENTS AND </w:t>
            </w:r>
            <w:r w:rsidR="00385B54" w:rsidRPr="00EA4C4D">
              <w:rPr>
                <w:rFonts w:ascii="Garamond" w:hAnsi="Garamond"/>
                <w:b/>
                <w:sz w:val="22"/>
                <w:szCs w:val="22"/>
              </w:rPr>
              <w:t>OFF-CAMPUS</w:t>
            </w:r>
            <w:r w:rsidRPr="00EA4C4D">
              <w:rPr>
                <w:rFonts w:ascii="Garamond" w:hAnsi="Garamond"/>
                <w:b/>
                <w:sz w:val="22"/>
                <w:szCs w:val="22"/>
              </w:rPr>
              <w:t xml:space="preserve"> ACCESS REQUIREMENTS</w:t>
            </w:r>
          </w:p>
        </w:tc>
      </w:tr>
      <w:tr w:rsidR="000F4A87" w:rsidRPr="00EA4C4D" w14:paraId="04481ECE" w14:textId="77777777" w:rsidTr="0018001D">
        <w:trPr>
          <w:gridAfter w:val="1"/>
          <w:wAfter w:w="10" w:type="dxa"/>
          <w:trHeight w:val="3636"/>
        </w:trPr>
        <w:tc>
          <w:tcPr>
            <w:tcW w:w="12895" w:type="dxa"/>
            <w:vAlign w:val="center"/>
          </w:tcPr>
          <w:p w14:paraId="7CDA201D" w14:textId="571C9586" w:rsidR="008B1E1B" w:rsidRPr="00EA4C4D" w:rsidRDefault="008B1E1B" w:rsidP="00B75695">
            <w:pPr>
              <w:spacing w:line="276" w:lineRule="auto"/>
              <w:rPr>
                <w:rFonts w:ascii="Garamond" w:hAnsi="Garamond"/>
                <w:sz w:val="22"/>
                <w:szCs w:val="22"/>
              </w:rPr>
            </w:pPr>
            <w:r w:rsidRPr="00EA4C4D">
              <w:rPr>
                <w:rFonts w:ascii="Garamond" w:hAnsi="Garamond"/>
                <w:iCs/>
                <w:sz w:val="22"/>
                <w:szCs w:val="22"/>
              </w:rPr>
              <w:t>I</w:t>
            </w:r>
            <w:r w:rsidRPr="00EA4C4D">
              <w:rPr>
                <w:rFonts w:ascii="Garamond" w:hAnsi="Garamond"/>
                <w:sz w:val="22"/>
                <w:szCs w:val="22"/>
              </w:rPr>
              <w:t>NSTRUCTIONS</w:t>
            </w:r>
          </w:p>
          <w:p w14:paraId="7EA12BB0" w14:textId="582B5656" w:rsidR="008B1E1B" w:rsidRPr="00EA4C4D" w:rsidRDefault="008B1E1B" w:rsidP="008B1E1B">
            <w:pPr>
              <w:pStyle w:val="ListParagraph"/>
              <w:numPr>
                <w:ilvl w:val="0"/>
                <w:numId w:val="11"/>
              </w:numPr>
              <w:spacing w:line="276" w:lineRule="auto"/>
              <w:rPr>
                <w:rFonts w:ascii="Garamond" w:hAnsi="Garamond"/>
                <w:b/>
                <w:bCs/>
                <w:iCs/>
                <w:sz w:val="22"/>
                <w:szCs w:val="22"/>
              </w:rPr>
            </w:pPr>
            <w:r w:rsidRPr="00EA4C4D">
              <w:rPr>
                <w:rFonts w:ascii="Garamond" w:hAnsi="Garamond"/>
                <w:sz w:val="22"/>
                <w:szCs w:val="22"/>
              </w:rPr>
              <w:t>For the “TC Guidelines” column, you will note policies instituted from Teachers College.</w:t>
            </w:r>
          </w:p>
          <w:p w14:paraId="0A70F8BE" w14:textId="119C11DD" w:rsidR="008B1E1B" w:rsidRPr="00EA4C4D" w:rsidRDefault="008B1E1B" w:rsidP="008B1E1B">
            <w:pPr>
              <w:pStyle w:val="ListParagraph"/>
              <w:numPr>
                <w:ilvl w:val="0"/>
                <w:numId w:val="11"/>
              </w:numPr>
              <w:spacing w:line="276" w:lineRule="auto"/>
              <w:rPr>
                <w:rFonts w:ascii="Garamond" w:hAnsi="Garamond"/>
                <w:iCs/>
                <w:sz w:val="22"/>
                <w:szCs w:val="22"/>
              </w:rPr>
            </w:pPr>
            <w:r w:rsidRPr="00EA4C4D">
              <w:rPr>
                <w:rFonts w:ascii="Garamond" w:hAnsi="Garamond"/>
                <w:iCs/>
                <w:sz w:val="22"/>
                <w:szCs w:val="22"/>
              </w:rPr>
              <w:t xml:space="preserve">For the “Off-Campus Guidelines” column fill in content related to the external site. </w:t>
            </w:r>
          </w:p>
          <w:p w14:paraId="2B65FEFD" w14:textId="05C39B7C" w:rsidR="008B1E1B" w:rsidRPr="00EA4C4D" w:rsidRDefault="008B1E1B" w:rsidP="008B1E1B">
            <w:pPr>
              <w:pStyle w:val="ListParagraph"/>
              <w:numPr>
                <w:ilvl w:val="0"/>
                <w:numId w:val="11"/>
              </w:numPr>
              <w:spacing w:line="276" w:lineRule="auto"/>
              <w:rPr>
                <w:rFonts w:ascii="Garamond" w:hAnsi="Garamond"/>
                <w:iCs/>
                <w:sz w:val="22"/>
                <w:szCs w:val="22"/>
              </w:rPr>
            </w:pPr>
            <w:r w:rsidRPr="00EA4C4D">
              <w:rPr>
                <w:rFonts w:ascii="Garamond" w:hAnsi="Garamond"/>
                <w:iCs/>
                <w:sz w:val="22"/>
                <w:szCs w:val="22"/>
              </w:rPr>
              <w:t xml:space="preserve">The goal is to document off-campus guidelines that meet or exceed guidelines set by Teachers College. In instances when the external site cannot meet those guidelines (e.g., a remote location), the researcher should provide an explanation or additional steps taken to ensure safety and hygiene. </w:t>
            </w:r>
          </w:p>
          <w:p w14:paraId="73EDA1E4" w14:textId="77777777" w:rsidR="008B1E1B" w:rsidRPr="00EA4C4D" w:rsidRDefault="008B1E1B" w:rsidP="00B75695">
            <w:pPr>
              <w:spacing w:line="276" w:lineRule="auto"/>
              <w:rPr>
                <w:rFonts w:ascii="Garamond" w:hAnsi="Garamond"/>
                <w:sz w:val="22"/>
                <w:szCs w:val="22"/>
              </w:rPr>
            </w:pPr>
          </w:p>
          <w:p w14:paraId="04B83A7F" w14:textId="570EF584" w:rsidR="000F4A87" w:rsidRPr="00EA4C4D" w:rsidRDefault="000F4A87" w:rsidP="00B75695">
            <w:pPr>
              <w:spacing w:line="276" w:lineRule="auto"/>
              <w:rPr>
                <w:rFonts w:ascii="Garamond" w:hAnsi="Garamond"/>
                <w:iCs/>
                <w:sz w:val="22"/>
                <w:szCs w:val="22"/>
              </w:rPr>
            </w:pPr>
            <w:r w:rsidRPr="00EA4C4D">
              <w:rPr>
                <w:rFonts w:ascii="Garamond" w:hAnsi="Garamond"/>
                <w:iCs/>
                <w:sz w:val="22"/>
                <w:szCs w:val="22"/>
              </w:rPr>
              <w:t>The following guidelines and information are from:</w:t>
            </w:r>
          </w:p>
          <w:p w14:paraId="2AA8D003" w14:textId="77777777" w:rsidR="000F4A87" w:rsidRPr="00EA4C4D" w:rsidRDefault="001F1629">
            <w:pPr>
              <w:pStyle w:val="ListParagraph"/>
              <w:numPr>
                <w:ilvl w:val="0"/>
                <w:numId w:val="10"/>
              </w:numPr>
              <w:spacing w:line="276" w:lineRule="auto"/>
              <w:rPr>
                <w:rFonts w:ascii="Garamond" w:hAnsi="Garamond"/>
                <w:iCs/>
                <w:sz w:val="22"/>
                <w:szCs w:val="22"/>
              </w:rPr>
            </w:pPr>
            <w:hyperlink r:id="rId7" w:history="1">
              <w:r w:rsidR="000F4A87" w:rsidRPr="00EA4C4D">
                <w:rPr>
                  <w:rStyle w:val="Hyperlink"/>
                  <w:rFonts w:ascii="Garamond" w:hAnsi="Garamond"/>
                  <w:iCs/>
                  <w:sz w:val="22"/>
                  <w:szCs w:val="22"/>
                </w:rPr>
                <w:t>Teachers College website</w:t>
              </w:r>
            </w:hyperlink>
            <w:hyperlink r:id="rId8" w:history="1"/>
          </w:p>
          <w:p w14:paraId="4E9D58D7" w14:textId="77777777" w:rsidR="00687499" w:rsidRPr="00EA4C4D" w:rsidRDefault="001F1629" w:rsidP="00B8290F">
            <w:pPr>
              <w:pStyle w:val="ListParagraph"/>
              <w:numPr>
                <w:ilvl w:val="0"/>
                <w:numId w:val="10"/>
              </w:numPr>
              <w:spacing w:line="276" w:lineRule="auto"/>
              <w:rPr>
                <w:rStyle w:val="Hyperlink"/>
                <w:rFonts w:ascii="Garamond" w:hAnsi="Garamond"/>
                <w:iCs/>
                <w:color w:val="auto"/>
                <w:sz w:val="22"/>
                <w:szCs w:val="22"/>
                <w:u w:val="none"/>
              </w:rPr>
            </w:pPr>
            <w:hyperlink r:id="rId9" w:history="1">
              <w:r w:rsidR="000F4A87" w:rsidRPr="00EA4C4D">
                <w:rPr>
                  <w:rStyle w:val="Hyperlink"/>
                  <w:rFonts w:ascii="Garamond" w:hAnsi="Garamond"/>
                  <w:iCs/>
                  <w:sz w:val="22"/>
                  <w:szCs w:val="22"/>
                </w:rPr>
                <w:t>Centers for Disease Control and Prevention</w:t>
              </w:r>
            </w:hyperlink>
          </w:p>
          <w:p w14:paraId="0D334E1B" w14:textId="6739A408" w:rsidR="008B1E1B" w:rsidRPr="00EA4C4D" w:rsidRDefault="00385B54" w:rsidP="008B1E1B">
            <w:pPr>
              <w:pStyle w:val="ListParagraph"/>
              <w:numPr>
                <w:ilvl w:val="0"/>
                <w:numId w:val="10"/>
              </w:numPr>
              <w:spacing w:line="276" w:lineRule="auto"/>
              <w:rPr>
                <w:rFonts w:ascii="Garamond" w:hAnsi="Garamond"/>
                <w:b/>
                <w:bCs/>
                <w:iCs/>
                <w:sz w:val="22"/>
                <w:szCs w:val="22"/>
              </w:rPr>
            </w:pPr>
            <w:r w:rsidRPr="00EA4C4D">
              <w:rPr>
                <w:rStyle w:val="Hyperlink"/>
                <w:rFonts w:ascii="Garamond" w:hAnsi="Garamond"/>
                <w:b/>
                <w:bCs/>
                <w:iCs/>
                <w:color w:val="0070C0"/>
                <w:sz w:val="22"/>
                <w:szCs w:val="22"/>
              </w:rPr>
              <w:t>[</w:t>
            </w:r>
            <w:r w:rsidRPr="00EA4C4D">
              <w:rPr>
                <w:rStyle w:val="Hyperlink"/>
                <w:rFonts w:ascii="Garamond" w:hAnsi="Garamond"/>
                <w:b/>
                <w:bCs/>
                <w:i/>
                <w:color w:val="0070C0"/>
                <w:sz w:val="22"/>
                <w:szCs w:val="22"/>
              </w:rPr>
              <w:t>Include the website of the external site</w:t>
            </w:r>
            <w:r w:rsidRPr="00EA4C4D">
              <w:rPr>
                <w:rStyle w:val="Hyperlink"/>
                <w:rFonts w:ascii="Garamond" w:hAnsi="Garamond"/>
                <w:b/>
                <w:bCs/>
                <w:iCs/>
                <w:color w:val="0070C0"/>
                <w:sz w:val="22"/>
                <w:szCs w:val="22"/>
              </w:rPr>
              <w:t>]</w:t>
            </w:r>
          </w:p>
        </w:tc>
      </w:tr>
    </w:tbl>
    <w:p w14:paraId="3B6DFC1D" w14:textId="77777777" w:rsidR="00FC6EA6" w:rsidRPr="00EA4C4D" w:rsidRDefault="00FC6EA6" w:rsidP="005C43B4">
      <w:pPr>
        <w:spacing w:line="276" w:lineRule="auto"/>
        <w:jc w:val="center"/>
        <w:rPr>
          <w:rFonts w:ascii="Garamond" w:hAnsi="Garamond"/>
          <w:sz w:val="22"/>
          <w:szCs w:val="22"/>
        </w:rPr>
      </w:pPr>
    </w:p>
    <w:tbl>
      <w:tblPr>
        <w:tblStyle w:val="TableGrid"/>
        <w:tblW w:w="12908" w:type="dxa"/>
        <w:tblLook w:val="0600" w:firstRow="0" w:lastRow="0" w:firstColumn="0" w:lastColumn="0" w:noHBand="1" w:noVBand="1"/>
      </w:tblPr>
      <w:tblGrid>
        <w:gridCol w:w="1340"/>
        <w:gridCol w:w="4809"/>
        <w:gridCol w:w="3686"/>
        <w:gridCol w:w="3073"/>
      </w:tblGrid>
      <w:tr w:rsidR="00FF104A" w:rsidRPr="00EA4C4D" w14:paraId="0BAA2E82" w14:textId="77777777" w:rsidTr="00BD1DAD">
        <w:trPr>
          <w:trHeight w:val="764"/>
        </w:trPr>
        <w:tc>
          <w:tcPr>
            <w:tcW w:w="1340" w:type="dxa"/>
            <w:shd w:val="clear" w:color="auto" w:fill="003B5C"/>
            <w:vAlign w:val="center"/>
          </w:tcPr>
          <w:p w14:paraId="231914BA" w14:textId="6C24E9AF" w:rsidR="000049D7" w:rsidRPr="00EA4C4D" w:rsidRDefault="00196134" w:rsidP="005C43B4">
            <w:pPr>
              <w:spacing w:line="276" w:lineRule="auto"/>
              <w:jc w:val="center"/>
              <w:rPr>
                <w:rFonts w:ascii="Garamond" w:hAnsi="Garamond"/>
                <w:sz w:val="22"/>
                <w:szCs w:val="22"/>
              </w:rPr>
            </w:pPr>
            <w:r w:rsidRPr="00EA4C4D">
              <w:rPr>
                <w:rFonts w:ascii="Garamond" w:hAnsi="Garamond"/>
                <w:color w:val="FFFFFF" w:themeColor="background1"/>
                <w:sz w:val="22"/>
                <w:szCs w:val="22"/>
              </w:rPr>
              <w:t>Process</w:t>
            </w:r>
          </w:p>
        </w:tc>
        <w:tc>
          <w:tcPr>
            <w:tcW w:w="4809" w:type="dxa"/>
            <w:shd w:val="clear" w:color="auto" w:fill="003B5C"/>
            <w:vAlign w:val="center"/>
          </w:tcPr>
          <w:p w14:paraId="143CD6E6" w14:textId="3493275F" w:rsidR="000049D7" w:rsidRPr="00EA4C4D" w:rsidRDefault="00810B4B" w:rsidP="005C43B4">
            <w:pPr>
              <w:spacing w:line="276" w:lineRule="auto"/>
              <w:jc w:val="center"/>
              <w:rPr>
                <w:rFonts w:ascii="Garamond" w:hAnsi="Garamond"/>
                <w:sz w:val="22"/>
                <w:szCs w:val="22"/>
              </w:rPr>
            </w:pPr>
            <w:r w:rsidRPr="00EA4C4D">
              <w:rPr>
                <w:rFonts w:ascii="Garamond" w:hAnsi="Garamond"/>
                <w:sz w:val="22"/>
                <w:szCs w:val="22"/>
              </w:rPr>
              <w:t>T</w:t>
            </w:r>
            <w:r w:rsidR="007311D2" w:rsidRPr="00EA4C4D">
              <w:rPr>
                <w:rFonts w:ascii="Garamond" w:hAnsi="Garamond"/>
                <w:sz w:val="22"/>
                <w:szCs w:val="22"/>
              </w:rPr>
              <w:t xml:space="preserve">eachers </w:t>
            </w:r>
            <w:r w:rsidRPr="00EA4C4D">
              <w:rPr>
                <w:rFonts w:ascii="Garamond" w:hAnsi="Garamond"/>
                <w:sz w:val="22"/>
                <w:szCs w:val="22"/>
              </w:rPr>
              <w:t>C</w:t>
            </w:r>
            <w:r w:rsidR="007311D2" w:rsidRPr="00EA4C4D">
              <w:rPr>
                <w:rFonts w:ascii="Garamond" w:hAnsi="Garamond"/>
                <w:sz w:val="22"/>
                <w:szCs w:val="22"/>
              </w:rPr>
              <w:t>ollege</w:t>
            </w:r>
            <w:r w:rsidRPr="00EA4C4D">
              <w:rPr>
                <w:rFonts w:ascii="Garamond" w:hAnsi="Garamond"/>
                <w:sz w:val="22"/>
                <w:szCs w:val="22"/>
              </w:rPr>
              <w:t xml:space="preserve"> </w:t>
            </w:r>
            <w:r w:rsidR="00C77DFC" w:rsidRPr="00EA4C4D">
              <w:rPr>
                <w:rFonts w:ascii="Garamond" w:hAnsi="Garamond"/>
                <w:sz w:val="22"/>
                <w:szCs w:val="22"/>
              </w:rPr>
              <w:t>G</w:t>
            </w:r>
            <w:r w:rsidRPr="00EA4C4D">
              <w:rPr>
                <w:rFonts w:ascii="Garamond" w:hAnsi="Garamond"/>
                <w:sz w:val="22"/>
                <w:szCs w:val="22"/>
              </w:rPr>
              <w:t>uidelines</w:t>
            </w:r>
          </w:p>
        </w:tc>
        <w:tc>
          <w:tcPr>
            <w:tcW w:w="3686" w:type="dxa"/>
            <w:shd w:val="clear" w:color="auto" w:fill="003B5C"/>
            <w:vAlign w:val="center"/>
          </w:tcPr>
          <w:p w14:paraId="7D0CF949" w14:textId="0929BDA5" w:rsidR="000049D7" w:rsidRPr="00EA4C4D" w:rsidRDefault="00341308" w:rsidP="005C43B4">
            <w:pPr>
              <w:spacing w:line="276" w:lineRule="auto"/>
              <w:jc w:val="center"/>
              <w:rPr>
                <w:rFonts w:ascii="Garamond" w:hAnsi="Garamond"/>
                <w:sz w:val="22"/>
                <w:szCs w:val="22"/>
              </w:rPr>
            </w:pPr>
            <w:r w:rsidRPr="00EA4C4D">
              <w:rPr>
                <w:rFonts w:ascii="Garamond" w:hAnsi="Garamond"/>
                <w:sz w:val="22"/>
                <w:szCs w:val="22"/>
              </w:rPr>
              <w:t>Off-Campus</w:t>
            </w:r>
            <w:r w:rsidR="00810B4B" w:rsidRPr="00EA4C4D">
              <w:rPr>
                <w:rFonts w:ascii="Garamond" w:hAnsi="Garamond"/>
                <w:sz w:val="22"/>
                <w:szCs w:val="22"/>
              </w:rPr>
              <w:t xml:space="preserve"> </w:t>
            </w:r>
            <w:r w:rsidR="00F324D7" w:rsidRPr="00EA4C4D">
              <w:rPr>
                <w:rFonts w:ascii="Garamond" w:hAnsi="Garamond"/>
                <w:sz w:val="22"/>
                <w:szCs w:val="22"/>
              </w:rPr>
              <w:t>G</w:t>
            </w:r>
            <w:r w:rsidR="00810B4B" w:rsidRPr="00EA4C4D">
              <w:rPr>
                <w:rFonts w:ascii="Garamond" w:hAnsi="Garamond"/>
                <w:sz w:val="22"/>
                <w:szCs w:val="22"/>
              </w:rPr>
              <w:t>uidelines</w:t>
            </w:r>
          </w:p>
        </w:tc>
        <w:tc>
          <w:tcPr>
            <w:tcW w:w="3073" w:type="dxa"/>
            <w:shd w:val="clear" w:color="auto" w:fill="003B5C"/>
            <w:vAlign w:val="center"/>
          </w:tcPr>
          <w:p w14:paraId="7C466E9A" w14:textId="77777777" w:rsidR="00341308" w:rsidRPr="00EA4C4D" w:rsidRDefault="00810B4B" w:rsidP="005C43B4">
            <w:pPr>
              <w:spacing w:line="276" w:lineRule="auto"/>
              <w:jc w:val="center"/>
              <w:rPr>
                <w:rFonts w:ascii="Garamond" w:hAnsi="Garamond"/>
                <w:sz w:val="22"/>
                <w:szCs w:val="22"/>
              </w:rPr>
            </w:pPr>
            <w:r w:rsidRPr="00EA4C4D">
              <w:rPr>
                <w:rFonts w:ascii="Garamond" w:hAnsi="Garamond"/>
                <w:sz w:val="22"/>
                <w:szCs w:val="22"/>
              </w:rPr>
              <w:t>Met or Exceed</w:t>
            </w:r>
            <w:r w:rsidR="007C79EF" w:rsidRPr="00EA4C4D">
              <w:rPr>
                <w:rFonts w:ascii="Garamond" w:hAnsi="Garamond"/>
                <w:sz w:val="22"/>
                <w:szCs w:val="22"/>
              </w:rPr>
              <w:t>ed</w:t>
            </w:r>
            <w:r w:rsidRPr="00EA4C4D">
              <w:rPr>
                <w:rFonts w:ascii="Garamond" w:hAnsi="Garamond"/>
                <w:sz w:val="22"/>
                <w:szCs w:val="22"/>
              </w:rPr>
              <w:t xml:space="preserve"> </w:t>
            </w:r>
          </w:p>
          <w:p w14:paraId="75C46D83" w14:textId="6A5C917E" w:rsidR="000049D7" w:rsidRPr="00EA4C4D" w:rsidRDefault="00810B4B" w:rsidP="005C43B4">
            <w:pPr>
              <w:spacing w:line="276" w:lineRule="auto"/>
              <w:jc w:val="center"/>
              <w:rPr>
                <w:rFonts w:ascii="Garamond" w:hAnsi="Garamond"/>
                <w:sz w:val="22"/>
                <w:szCs w:val="22"/>
              </w:rPr>
            </w:pPr>
            <w:r w:rsidRPr="00EA4C4D">
              <w:rPr>
                <w:rFonts w:ascii="Garamond" w:hAnsi="Garamond"/>
                <w:sz w:val="22"/>
                <w:szCs w:val="22"/>
              </w:rPr>
              <w:t xml:space="preserve">TC </w:t>
            </w:r>
            <w:r w:rsidR="00F324D7" w:rsidRPr="00EA4C4D">
              <w:rPr>
                <w:rFonts w:ascii="Garamond" w:hAnsi="Garamond"/>
                <w:sz w:val="22"/>
                <w:szCs w:val="22"/>
              </w:rPr>
              <w:t>G</w:t>
            </w:r>
            <w:r w:rsidRPr="00EA4C4D">
              <w:rPr>
                <w:rFonts w:ascii="Garamond" w:hAnsi="Garamond"/>
                <w:sz w:val="22"/>
                <w:szCs w:val="22"/>
              </w:rPr>
              <w:t>uidelines?</w:t>
            </w:r>
          </w:p>
        </w:tc>
      </w:tr>
      <w:tr w:rsidR="00FF104A" w:rsidRPr="00EA4C4D" w14:paraId="47C2E091" w14:textId="77777777" w:rsidTr="00BD1DAD">
        <w:trPr>
          <w:trHeight w:val="2510"/>
        </w:trPr>
        <w:tc>
          <w:tcPr>
            <w:tcW w:w="1340" w:type="dxa"/>
            <w:vAlign w:val="center"/>
          </w:tcPr>
          <w:p w14:paraId="5DC9DFA5" w14:textId="32CF9934" w:rsidR="000049D7" w:rsidRPr="00EA4C4D" w:rsidRDefault="00810B4B" w:rsidP="005C43B4">
            <w:pPr>
              <w:spacing w:line="276" w:lineRule="auto"/>
              <w:jc w:val="center"/>
              <w:rPr>
                <w:rFonts w:ascii="Garamond" w:hAnsi="Garamond"/>
                <w:b/>
                <w:sz w:val="22"/>
                <w:szCs w:val="22"/>
              </w:rPr>
            </w:pPr>
            <w:r w:rsidRPr="00EA4C4D">
              <w:rPr>
                <w:rFonts w:ascii="Garamond" w:hAnsi="Garamond"/>
                <w:b/>
                <w:sz w:val="22"/>
                <w:szCs w:val="22"/>
              </w:rPr>
              <w:t>Daily Health Screening</w:t>
            </w:r>
          </w:p>
        </w:tc>
        <w:tc>
          <w:tcPr>
            <w:tcW w:w="4809" w:type="dxa"/>
          </w:tcPr>
          <w:p w14:paraId="27069D1A" w14:textId="44D26AF8" w:rsidR="000049D7" w:rsidRPr="00EA4C4D" w:rsidRDefault="00810B4B" w:rsidP="00B8290F">
            <w:pPr>
              <w:spacing w:after="120"/>
              <w:rPr>
                <w:rFonts w:ascii="Garamond" w:hAnsi="Garamond"/>
                <w:sz w:val="22"/>
                <w:szCs w:val="22"/>
              </w:rPr>
            </w:pPr>
            <w:r w:rsidRPr="00EA4C4D">
              <w:rPr>
                <w:rFonts w:ascii="Garamond" w:hAnsi="Garamond"/>
                <w:sz w:val="22"/>
                <w:szCs w:val="22"/>
              </w:rPr>
              <w:t>TC students, faculty, staff, and affiliates must complete the TC Daily Health Screening</w:t>
            </w:r>
            <w:r w:rsidR="005C1F15" w:rsidRPr="00EA4C4D">
              <w:rPr>
                <w:rFonts w:ascii="Garamond" w:hAnsi="Garamond"/>
                <w:sz w:val="22"/>
                <w:szCs w:val="22"/>
              </w:rPr>
              <w:t xml:space="preserve">, which will identify </w:t>
            </w:r>
            <w:r w:rsidR="009D0DDE" w:rsidRPr="00EA4C4D">
              <w:rPr>
                <w:rFonts w:ascii="Garamond" w:hAnsi="Garamond"/>
                <w:sz w:val="22"/>
                <w:szCs w:val="22"/>
              </w:rPr>
              <w:t>individuals</w:t>
            </w:r>
            <w:r w:rsidR="005C1F15" w:rsidRPr="00EA4C4D">
              <w:rPr>
                <w:rFonts w:ascii="Garamond" w:hAnsi="Garamond"/>
                <w:sz w:val="22"/>
                <w:szCs w:val="22"/>
              </w:rPr>
              <w:t xml:space="preserve"> who:</w:t>
            </w:r>
          </w:p>
          <w:p w14:paraId="65FB3530" w14:textId="1C1E2116" w:rsidR="00E3764A" w:rsidRPr="00EA4C4D" w:rsidRDefault="005C1F15" w:rsidP="00B8290F">
            <w:pPr>
              <w:pStyle w:val="ListParagraph"/>
              <w:numPr>
                <w:ilvl w:val="0"/>
                <w:numId w:val="7"/>
              </w:numPr>
              <w:rPr>
                <w:rFonts w:ascii="Garamond" w:hAnsi="Garamond"/>
                <w:sz w:val="22"/>
                <w:szCs w:val="22"/>
              </w:rPr>
            </w:pPr>
            <w:r w:rsidRPr="00EA4C4D">
              <w:rPr>
                <w:rFonts w:ascii="Garamond" w:hAnsi="Garamond"/>
                <w:sz w:val="22"/>
                <w:szCs w:val="22"/>
              </w:rPr>
              <w:t xml:space="preserve">Display </w:t>
            </w:r>
            <w:r w:rsidR="00810B4B" w:rsidRPr="00EA4C4D">
              <w:rPr>
                <w:rFonts w:ascii="Garamond" w:hAnsi="Garamond"/>
                <w:sz w:val="22"/>
                <w:szCs w:val="22"/>
              </w:rPr>
              <w:t>symptom</w:t>
            </w:r>
            <w:r w:rsidRPr="00EA4C4D">
              <w:rPr>
                <w:rFonts w:ascii="Garamond" w:hAnsi="Garamond"/>
                <w:sz w:val="22"/>
                <w:szCs w:val="22"/>
              </w:rPr>
              <w:t xml:space="preserve">s of </w:t>
            </w:r>
            <w:r w:rsidR="009D0DDE" w:rsidRPr="00EA4C4D">
              <w:rPr>
                <w:rFonts w:ascii="Garamond" w:hAnsi="Garamond"/>
                <w:sz w:val="22"/>
                <w:szCs w:val="22"/>
              </w:rPr>
              <w:t>COVID-19.</w:t>
            </w:r>
          </w:p>
          <w:p w14:paraId="75F6CC68" w14:textId="4D0A3849" w:rsidR="00E3764A" w:rsidRPr="00EA4C4D" w:rsidRDefault="009D0DDE" w:rsidP="00B8290F">
            <w:pPr>
              <w:pStyle w:val="ListParagraph"/>
              <w:numPr>
                <w:ilvl w:val="0"/>
                <w:numId w:val="7"/>
              </w:numPr>
              <w:rPr>
                <w:rFonts w:ascii="Garamond" w:hAnsi="Garamond"/>
                <w:sz w:val="22"/>
                <w:szCs w:val="22"/>
              </w:rPr>
            </w:pPr>
            <w:r w:rsidRPr="00EA4C4D">
              <w:rPr>
                <w:rFonts w:ascii="Garamond" w:hAnsi="Garamond"/>
                <w:sz w:val="22"/>
                <w:szCs w:val="22"/>
              </w:rPr>
              <w:t>Have t</w:t>
            </w:r>
            <w:r w:rsidR="00810B4B" w:rsidRPr="00EA4C4D">
              <w:rPr>
                <w:rFonts w:ascii="Garamond" w:hAnsi="Garamond"/>
                <w:sz w:val="22"/>
                <w:szCs w:val="22"/>
              </w:rPr>
              <w:t>ested positive for COVID-19</w:t>
            </w:r>
            <w:r w:rsidRPr="00EA4C4D">
              <w:rPr>
                <w:rFonts w:ascii="Garamond" w:hAnsi="Garamond"/>
                <w:sz w:val="22"/>
                <w:szCs w:val="22"/>
              </w:rPr>
              <w:t>.</w:t>
            </w:r>
          </w:p>
          <w:p w14:paraId="24959DD3" w14:textId="3183FCD3" w:rsidR="009C3515" w:rsidRPr="00EA4C4D" w:rsidRDefault="00810B4B" w:rsidP="009C3515">
            <w:pPr>
              <w:pStyle w:val="ListParagraph"/>
              <w:numPr>
                <w:ilvl w:val="0"/>
                <w:numId w:val="7"/>
              </w:numPr>
              <w:rPr>
                <w:rFonts w:ascii="Garamond" w:hAnsi="Garamond"/>
                <w:sz w:val="22"/>
                <w:szCs w:val="22"/>
              </w:rPr>
            </w:pPr>
            <w:r w:rsidRPr="00EA4C4D">
              <w:rPr>
                <w:rFonts w:ascii="Garamond" w:hAnsi="Garamond"/>
                <w:sz w:val="22"/>
                <w:szCs w:val="22"/>
              </w:rPr>
              <w:t>Have been exposed to individuals who have tested positive for COVID-19 within the last 14 days.</w:t>
            </w:r>
          </w:p>
        </w:tc>
        <w:tc>
          <w:tcPr>
            <w:tcW w:w="3686" w:type="dxa"/>
          </w:tcPr>
          <w:p w14:paraId="1AD47C2D" w14:textId="40F78956" w:rsidR="00B10616" w:rsidRPr="00EA4C4D" w:rsidRDefault="00341308" w:rsidP="00BD1DAD">
            <w:pPr>
              <w:rPr>
                <w:rFonts w:ascii="Garamond" w:hAnsi="Garamond"/>
                <w:color w:val="0070C0"/>
                <w:sz w:val="22"/>
                <w:szCs w:val="22"/>
              </w:rPr>
            </w:pPr>
            <w:r w:rsidRPr="00EA4C4D">
              <w:rPr>
                <w:rFonts w:ascii="Garamond" w:hAnsi="Garamond"/>
                <w:color w:val="0070C0"/>
                <w:sz w:val="22"/>
                <w:szCs w:val="22"/>
              </w:rPr>
              <w:t>[</w:t>
            </w:r>
            <w:r w:rsidRPr="00EA4C4D">
              <w:rPr>
                <w:rFonts w:ascii="Garamond" w:hAnsi="Garamond"/>
                <w:i/>
                <w:iCs/>
                <w:color w:val="0070C0"/>
                <w:sz w:val="22"/>
                <w:szCs w:val="22"/>
              </w:rPr>
              <w:t>List the Off-Campus safety</w:t>
            </w:r>
            <w:r w:rsidR="00E54073" w:rsidRPr="00EA4C4D">
              <w:rPr>
                <w:rFonts w:ascii="Garamond" w:hAnsi="Garamond"/>
                <w:i/>
                <w:iCs/>
                <w:color w:val="0070C0"/>
                <w:sz w:val="22"/>
                <w:szCs w:val="22"/>
              </w:rPr>
              <w:t xml:space="preserve"> and </w:t>
            </w:r>
            <w:r w:rsidRPr="00EA4C4D">
              <w:rPr>
                <w:rFonts w:ascii="Garamond" w:hAnsi="Garamond"/>
                <w:i/>
                <w:iCs/>
                <w:color w:val="0070C0"/>
                <w:sz w:val="22"/>
                <w:szCs w:val="22"/>
              </w:rPr>
              <w:t>hygiene plans</w:t>
            </w:r>
            <w:r w:rsidR="00AE78BA" w:rsidRPr="00EA4C4D">
              <w:rPr>
                <w:rFonts w:ascii="Garamond" w:hAnsi="Garamond"/>
                <w:i/>
                <w:iCs/>
                <w:color w:val="0070C0"/>
                <w:sz w:val="22"/>
                <w:szCs w:val="22"/>
              </w:rPr>
              <w:t>.</w:t>
            </w:r>
            <w:r w:rsidRPr="00EA4C4D">
              <w:rPr>
                <w:rFonts w:ascii="Garamond" w:hAnsi="Garamond"/>
                <w:color w:val="0070C0"/>
                <w:sz w:val="22"/>
                <w:szCs w:val="22"/>
              </w:rPr>
              <w:t>]</w:t>
            </w:r>
          </w:p>
        </w:tc>
        <w:tc>
          <w:tcPr>
            <w:tcW w:w="3073" w:type="dxa"/>
          </w:tcPr>
          <w:p w14:paraId="64AC79A0" w14:textId="4C8F211C" w:rsidR="00983749" w:rsidRPr="00EA4C4D" w:rsidRDefault="00341308" w:rsidP="00B8290F">
            <w:pPr>
              <w:spacing w:after="120"/>
              <w:rPr>
                <w:rFonts w:ascii="Garamond" w:hAnsi="Garamond"/>
                <w:color w:val="0070C0"/>
                <w:sz w:val="22"/>
                <w:szCs w:val="22"/>
              </w:rPr>
            </w:pPr>
            <w:r w:rsidRPr="00EA4C4D">
              <w:rPr>
                <w:rFonts w:ascii="Garamond" w:hAnsi="Garamond"/>
                <w:color w:val="0070C0"/>
                <w:sz w:val="22"/>
                <w:szCs w:val="22"/>
              </w:rPr>
              <w:t>[</w:t>
            </w:r>
            <w:r w:rsidRPr="00EA4C4D">
              <w:rPr>
                <w:rFonts w:ascii="Garamond" w:hAnsi="Garamond"/>
                <w:i/>
                <w:iCs/>
                <w:color w:val="0070C0"/>
                <w:sz w:val="22"/>
                <w:szCs w:val="22"/>
              </w:rPr>
              <w:t xml:space="preserve">Does the Off-Campus site meet or exceed TC Guidelines? </w:t>
            </w:r>
            <w:r w:rsidR="00AE78BA" w:rsidRPr="00EA4C4D">
              <w:rPr>
                <w:rFonts w:ascii="Garamond" w:hAnsi="Garamond"/>
                <w:i/>
                <w:iCs/>
                <w:color w:val="0070C0"/>
                <w:sz w:val="22"/>
                <w:szCs w:val="22"/>
              </w:rPr>
              <w:t xml:space="preserve">Give specific examples of how the off-campus site meet or exceeds guidelines. </w:t>
            </w:r>
            <w:r w:rsidRPr="00EA4C4D">
              <w:rPr>
                <w:rFonts w:ascii="Garamond" w:hAnsi="Garamond"/>
                <w:i/>
                <w:iCs/>
                <w:color w:val="0070C0"/>
                <w:sz w:val="22"/>
                <w:szCs w:val="22"/>
              </w:rPr>
              <w:t>If not, explain how the off-campus site handles safety/hygiene</w:t>
            </w:r>
            <w:r w:rsidR="00AE78BA" w:rsidRPr="00EA4C4D">
              <w:rPr>
                <w:rFonts w:ascii="Garamond" w:hAnsi="Garamond"/>
                <w:i/>
                <w:iCs/>
                <w:color w:val="0070C0"/>
                <w:sz w:val="22"/>
                <w:szCs w:val="22"/>
              </w:rPr>
              <w:t>. Fill out all of the sections below.</w:t>
            </w:r>
            <w:r w:rsidRPr="00EA4C4D">
              <w:rPr>
                <w:rFonts w:ascii="Garamond" w:hAnsi="Garamond"/>
                <w:color w:val="0070C0"/>
                <w:sz w:val="22"/>
                <w:szCs w:val="22"/>
              </w:rPr>
              <w:t xml:space="preserve">] </w:t>
            </w:r>
          </w:p>
        </w:tc>
      </w:tr>
      <w:tr w:rsidR="00BD1DAD" w:rsidRPr="00EA4C4D" w14:paraId="3CFE9913" w14:textId="77777777" w:rsidTr="00BD1DAD">
        <w:trPr>
          <w:trHeight w:val="1970"/>
        </w:trPr>
        <w:tc>
          <w:tcPr>
            <w:tcW w:w="1340" w:type="dxa"/>
            <w:vAlign w:val="center"/>
          </w:tcPr>
          <w:p w14:paraId="1A2DF4AB" w14:textId="37C1D308" w:rsidR="00BD1DAD" w:rsidRPr="00EA4C4D" w:rsidRDefault="00BD1DAD" w:rsidP="00BD1DAD">
            <w:pPr>
              <w:spacing w:line="276" w:lineRule="auto"/>
              <w:jc w:val="center"/>
              <w:rPr>
                <w:rFonts w:ascii="Garamond" w:hAnsi="Garamond"/>
                <w:b/>
                <w:sz w:val="22"/>
                <w:szCs w:val="22"/>
              </w:rPr>
            </w:pPr>
            <w:r w:rsidRPr="00EA4C4D">
              <w:rPr>
                <w:rFonts w:ascii="Garamond" w:hAnsi="Garamond"/>
                <w:b/>
                <w:sz w:val="22"/>
                <w:szCs w:val="22"/>
              </w:rPr>
              <w:lastRenderedPageBreak/>
              <w:t>COVID-19 Testing</w:t>
            </w:r>
          </w:p>
        </w:tc>
        <w:tc>
          <w:tcPr>
            <w:tcW w:w="4809" w:type="dxa"/>
          </w:tcPr>
          <w:p w14:paraId="700FFD5D" w14:textId="38A77B84" w:rsidR="00BD1DAD" w:rsidRPr="00EA4C4D" w:rsidRDefault="00BD1DAD" w:rsidP="00BD1DAD">
            <w:pPr>
              <w:rPr>
                <w:rFonts w:ascii="Garamond" w:eastAsia="Times New Roman" w:hAnsi="Garamond" w:cs="Times New Roman"/>
                <w:sz w:val="22"/>
                <w:szCs w:val="22"/>
                <w:lang w:eastAsia="en-US"/>
              </w:rPr>
            </w:pPr>
            <w:r w:rsidRPr="00EA4C4D">
              <w:rPr>
                <w:rFonts w:ascii="Garamond" w:hAnsi="Garamond"/>
                <w:sz w:val="22"/>
                <w:szCs w:val="22"/>
              </w:rPr>
              <w:t xml:space="preserve">Teachers College, Columbia University requires an initial single COVID-19 PCR diagnostic test (nasal swab) of all faculty, staff, and students who are returning to campus, per NYS COVID-19 Guidance for Higher Education. </w:t>
            </w:r>
            <w:hyperlink r:id="rId10" w:history="1">
              <w:r w:rsidRPr="00EA4C4D">
                <w:rPr>
                  <w:rStyle w:val="Hyperlink"/>
                  <w:rFonts w:ascii="Garamond" w:eastAsia="Times New Roman" w:hAnsi="Garamond" w:cs="Times New Roman"/>
                  <w:sz w:val="22"/>
                  <w:szCs w:val="22"/>
                  <w:shd w:val="clear" w:color="auto" w:fill="FFFFFF"/>
                  <w:lang w:eastAsia="en-US"/>
                </w:rPr>
                <w:t>All essential staff will be required to submit a negative COVID-19 PCR test by January 25th, 2021</w:t>
              </w:r>
            </w:hyperlink>
            <w:r w:rsidRPr="00EA4C4D">
              <w:rPr>
                <w:rFonts w:ascii="Garamond" w:eastAsia="Times New Roman" w:hAnsi="Garamond" w:cs="Times New Roman"/>
                <w:color w:val="333333"/>
                <w:sz w:val="22"/>
                <w:szCs w:val="22"/>
                <w:shd w:val="clear" w:color="auto" w:fill="FFFFFF"/>
                <w:lang w:eastAsia="en-US"/>
              </w:rPr>
              <w:t>.</w:t>
            </w:r>
          </w:p>
        </w:tc>
        <w:tc>
          <w:tcPr>
            <w:tcW w:w="3686" w:type="dxa"/>
          </w:tcPr>
          <w:p w14:paraId="3077D04C" w14:textId="022644F1" w:rsidR="00BD1DAD" w:rsidRPr="00EA4C4D" w:rsidRDefault="00BD1DAD" w:rsidP="00BD1DAD">
            <w:pPr>
              <w:rPr>
                <w:rFonts w:ascii="Garamond" w:hAnsi="Garamond"/>
                <w:sz w:val="22"/>
                <w:szCs w:val="22"/>
              </w:rPr>
            </w:pPr>
            <w:r w:rsidRPr="00EA4C4D">
              <w:rPr>
                <w:rFonts w:ascii="Garamond" w:hAnsi="Garamond"/>
                <w:color w:val="0070C0"/>
                <w:sz w:val="22"/>
                <w:szCs w:val="22"/>
              </w:rPr>
              <w:t>[</w:t>
            </w:r>
            <w:r w:rsidRPr="00EA4C4D">
              <w:rPr>
                <w:rFonts w:ascii="Garamond" w:hAnsi="Garamond"/>
                <w:i/>
                <w:iCs/>
                <w:color w:val="0070C0"/>
                <w:sz w:val="22"/>
                <w:szCs w:val="22"/>
              </w:rPr>
              <w:t>List the Off-Campus safety and hygiene plans.</w:t>
            </w:r>
            <w:r w:rsidRPr="00EA4C4D">
              <w:rPr>
                <w:rFonts w:ascii="Garamond" w:hAnsi="Garamond"/>
                <w:color w:val="0070C0"/>
                <w:sz w:val="22"/>
                <w:szCs w:val="22"/>
              </w:rPr>
              <w:t>]</w:t>
            </w:r>
          </w:p>
        </w:tc>
        <w:tc>
          <w:tcPr>
            <w:tcW w:w="3073" w:type="dxa"/>
          </w:tcPr>
          <w:p w14:paraId="7F7EC2A8" w14:textId="0A15540D" w:rsidR="00BD1DAD" w:rsidRPr="00EA4C4D" w:rsidRDefault="00BD1DAD" w:rsidP="00BD1DAD">
            <w:pPr>
              <w:rPr>
                <w:rFonts w:ascii="Garamond" w:hAnsi="Garamond"/>
                <w:sz w:val="22"/>
                <w:szCs w:val="22"/>
              </w:rPr>
            </w:pPr>
          </w:p>
        </w:tc>
      </w:tr>
      <w:tr w:rsidR="00BD1DAD" w:rsidRPr="00EA4C4D" w14:paraId="587720F9" w14:textId="77777777" w:rsidTr="000C128B">
        <w:trPr>
          <w:trHeight w:val="2789"/>
        </w:trPr>
        <w:tc>
          <w:tcPr>
            <w:tcW w:w="1340" w:type="dxa"/>
            <w:vAlign w:val="center"/>
          </w:tcPr>
          <w:p w14:paraId="0E433311" w14:textId="5E772179" w:rsidR="00BD1DAD" w:rsidRPr="00EA4C4D" w:rsidRDefault="00BD1DAD" w:rsidP="00BD1DAD">
            <w:pPr>
              <w:spacing w:line="276" w:lineRule="auto"/>
              <w:jc w:val="center"/>
              <w:rPr>
                <w:rFonts w:ascii="Garamond" w:hAnsi="Garamond"/>
                <w:b/>
                <w:sz w:val="22"/>
                <w:szCs w:val="22"/>
              </w:rPr>
            </w:pPr>
            <w:r w:rsidRPr="00EA4C4D">
              <w:rPr>
                <w:rFonts w:ascii="Garamond" w:hAnsi="Garamond"/>
                <w:b/>
                <w:sz w:val="22"/>
                <w:szCs w:val="22"/>
              </w:rPr>
              <w:t>Health &amp; Safety Guidelines for In-Person Sessions</w:t>
            </w:r>
          </w:p>
        </w:tc>
        <w:tc>
          <w:tcPr>
            <w:tcW w:w="4809" w:type="dxa"/>
          </w:tcPr>
          <w:p w14:paraId="49B38366" w14:textId="5421F9CE" w:rsidR="00BD1DAD" w:rsidRPr="00EA4C4D" w:rsidRDefault="001F1629" w:rsidP="00BD1DAD">
            <w:pPr>
              <w:rPr>
                <w:rFonts w:ascii="Garamond" w:hAnsi="Garamond"/>
                <w:sz w:val="22"/>
                <w:szCs w:val="22"/>
              </w:rPr>
            </w:pPr>
            <w:hyperlink r:id="rId11" w:history="1">
              <w:r w:rsidR="00BD1DAD" w:rsidRPr="00EA4C4D">
                <w:rPr>
                  <w:rStyle w:val="Hyperlink"/>
                  <w:rFonts w:ascii="Garamond" w:hAnsi="Garamond"/>
                  <w:sz w:val="22"/>
                  <w:szCs w:val="22"/>
                </w:rPr>
                <w:t>https://www.tc.columbia.edu/preparedness/campus-life-during-covid-19/</w:t>
              </w:r>
            </w:hyperlink>
          </w:p>
          <w:p w14:paraId="64C575E5" w14:textId="77777777" w:rsidR="00BD1DAD" w:rsidRPr="00EA4C4D" w:rsidRDefault="00BD1DAD" w:rsidP="00BD1DAD">
            <w:pPr>
              <w:rPr>
                <w:rFonts w:ascii="Garamond" w:hAnsi="Garamond"/>
                <w:sz w:val="22"/>
                <w:szCs w:val="22"/>
              </w:rPr>
            </w:pPr>
          </w:p>
          <w:p w14:paraId="0AB9364D" w14:textId="511430CF" w:rsidR="00BD1DAD" w:rsidRPr="00EA4C4D" w:rsidRDefault="001F1629" w:rsidP="00BD1DAD">
            <w:pPr>
              <w:rPr>
                <w:rFonts w:ascii="Garamond" w:hAnsi="Garamond"/>
                <w:sz w:val="22"/>
                <w:szCs w:val="22"/>
              </w:rPr>
            </w:pPr>
            <w:hyperlink r:id="rId12" w:history="1">
              <w:r w:rsidR="00BD1DAD" w:rsidRPr="00EA4C4D">
                <w:rPr>
                  <w:rStyle w:val="Hyperlink"/>
                  <w:rFonts w:ascii="Garamond" w:hAnsi="Garamond"/>
                  <w:sz w:val="22"/>
                  <w:szCs w:val="22"/>
                </w:rPr>
                <w:t>https://www.tc.columbia.edu/preparedness/campus-life-during-covid-19/research-compliance-and-safety/risk-assessment/</w:t>
              </w:r>
            </w:hyperlink>
          </w:p>
          <w:p w14:paraId="5D3F85DB" w14:textId="77777777" w:rsidR="00BD1DAD" w:rsidRPr="00EA4C4D" w:rsidRDefault="00BD1DAD" w:rsidP="00BD1DAD">
            <w:pPr>
              <w:rPr>
                <w:rFonts w:ascii="Garamond" w:hAnsi="Garamond"/>
                <w:sz w:val="22"/>
                <w:szCs w:val="22"/>
              </w:rPr>
            </w:pPr>
          </w:p>
          <w:p w14:paraId="6D04DE84" w14:textId="14491D96" w:rsidR="00BD1DAD" w:rsidRPr="00EA4C4D" w:rsidRDefault="001F1629" w:rsidP="00BD1DAD">
            <w:pPr>
              <w:rPr>
                <w:rStyle w:val="Hyperlink"/>
                <w:rFonts w:ascii="Garamond" w:hAnsi="Garamond"/>
                <w:sz w:val="22"/>
                <w:szCs w:val="22"/>
              </w:rPr>
            </w:pPr>
            <w:hyperlink r:id="rId13" w:history="1">
              <w:r w:rsidR="00BD1DAD" w:rsidRPr="00EA4C4D">
                <w:rPr>
                  <w:rStyle w:val="Hyperlink"/>
                  <w:rFonts w:ascii="Garamond" w:hAnsi="Garamond"/>
                  <w:sz w:val="22"/>
                  <w:szCs w:val="22"/>
                </w:rPr>
                <w:t>https://www.tc.columbia.edu/preparedness/campus-life-during-covid-19/research-compliance-and-safety/care-for-you-others-and-the-community/</w:t>
              </w:r>
            </w:hyperlink>
          </w:p>
          <w:p w14:paraId="5400CABB" w14:textId="566BFB65" w:rsidR="00631255" w:rsidRPr="00EA4C4D" w:rsidRDefault="00631255" w:rsidP="00BD1DAD">
            <w:pPr>
              <w:rPr>
                <w:rStyle w:val="Hyperlink"/>
                <w:rFonts w:ascii="Garamond" w:hAnsi="Garamond"/>
                <w:sz w:val="22"/>
                <w:szCs w:val="22"/>
              </w:rPr>
            </w:pPr>
          </w:p>
          <w:p w14:paraId="079822C5" w14:textId="6AFDFC5F" w:rsidR="00631255" w:rsidRPr="00EA4C4D" w:rsidRDefault="00631255" w:rsidP="00BD1DAD">
            <w:pPr>
              <w:rPr>
                <w:rStyle w:val="Hyperlink"/>
                <w:rFonts w:ascii="Garamond" w:hAnsi="Garamond"/>
                <w:sz w:val="22"/>
                <w:szCs w:val="22"/>
              </w:rPr>
            </w:pPr>
            <w:r w:rsidRPr="00EA4C4D">
              <w:rPr>
                <w:rStyle w:val="Hyperlink"/>
                <w:rFonts w:ascii="Garamond" w:hAnsi="Garamond"/>
                <w:sz w:val="22"/>
                <w:szCs w:val="22"/>
              </w:rPr>
              <w:t>Teachers College IRB requires the following parameters to engage in-person for research:</w:t>
            </w:r>
          </w:p>
          <w:p w14:paraId="3CDB218F" w14:textId="525A8706" w:rsidR="00631255" w:rsidRPr="00EA4C4D" w:rsidRDefault="00631255" w:rsidP="00631255">
            <w:pPr>
              <w:pStyle w:val="ListParagraph"/>
              <w:numPr>
                <w:ilvl w:val="0"/>
                <w:numId w:val="12"/>
              </w:numPr>
              <w:autoSpaceDE w:val="0"/>
              <w:autoSpaceDN w:val="0"/>
              <w:adjustRightInd w:val="0"/>
              <w:rPr>
                <w:rFonts w:ascii="Garamond" w:hAnsi="Garamond" w:cs="AppleSystemUIFont"/>
                <w:sz w:val="22"/>
                <w:szCs w:val="22"/>
              </w:rPr>
            </w:pPr>
            <w:r w:rsidRPr="00EA4C4D">
              <w:rPr>
                <w:rFonts w:ascii="Garamond" w:hAnsi="Garamond" w:cs="AppleSystemUIFont"/>
                <w:sz w:val="22"/>
                <w:szCs w:val="22"/>
              </w:rPr>
              <w:t xml:space="preserve">Have all staff on the protocol complete the </w:t>
            </w:r>
            <w:hyperlink r:id="rId14" w:history="1">
              <w:r w:rsidRPr="00F64991">
                <w:rPr>
                  <w:rStyle w:val="Hyperlink"/>
                  <w:rFonts w:ascii="Garamond" w:hAnsi="Garamond" w:cs="AppleSystemUIFont"/>
                  <w:sz w:val="22"/>
                  <w:szCs w:val="22"/>
                </w:rPr>
                <w:t>Ethics Amid Uncertainty training on TC's Preparedness website</w:t>
              </w:r>
            </w:hyperlink>
            <w:r w:rsidRPr="00EA4C4D">
              <w:rPr>
                <w:rFonts w:ascii="Garamond" w:hAnsi="Garamond" w:cs="AppleSystemUIFont"/>
                <w:sz w:val="22"/>
                <w:szCs w:val="22"/>
              </w:rPr>
              <w:t xml:space="preserve"> and the Return to Campus trainings. Each staff can upload the completion certificates to Mentor's PI Documentation under their separate logins. This can be done in advanced of restrictions being lifted. </w:t>
            </w:r>
          </w:p>
          <w:p w14:paraId="64B27D46" w14:textId="58B384E1" w:rsidR="00631255" w:rsidRPr="00EA4C4D" w:rsidRDefault="00631255" w:rsidP="00631255">
            <w:pPr>
              <w:pStyle w:val="ListParagraph"/>
              <w:numPr>
                <w:ilvl w:val="0"/>
                <w:numId w:val="12"/>
              </w:numPr>
              <w:autoSpaceDE w:val="0"/>
              <w:autoSpaceDN w:val="0"/>
              <w:adjustRightInd w:val="0"/>
              <w:rPr>
                <w:rFonts w:ascii="Garamond" w:hAnsi="Garamond" w:cs="AppleSystemUIFont"/>
                <w:sz w:val="22"/>
                <w:szCs w:val="22"/>
              </w:rPr>
            </w:pPr>
            <w:r w:rsidRPr="00EA4C4D">
              <w:rPr>
                <w:rFonts w:ascii="Garamond" w:hAnsi="Garamond" w:cs="AppleSystemUIFont"/>
                <w:sz w:val="22"/>
                <w:szCs w:val="22"/>
              </w:rPr>
              <w:t xml:space="preserve">If you have not done so already, contact </w:t>
            </w:r>
            <w:hyperlink r:id="rId15" w:history="1">
              <w:r w:rsidRPr="00A2575B">
                <w:rPr>
                  <w:rStyle w:val="Hyperlink"/>
                  <w:rFonts w:ascii="Garamond" w:hAnsi="Garamond" w:cs="AppleSystemUIFont"/>
                  <w:sz w:val="22"/>
                  <w:szCs w:val="22"/>
                </w:rPr>
                <w:t>TC’s Environmental Health &amp; Safety Office to engage in a Job Safety Assessment (JSA)</w:t>
              </w:r>
            </w:hyperlink>
            <w:r w:rsidRPr="00EA4C4D">
              <w:rPr>
                <w:rFonts w:ascii="Garamond" w:hAnsi="Garamond" w:cs="AppleSystemUIFont"/>
                <w:sz w:val="22"/>
                <w:szCs w:val="22"/>
              </w:rPr>
              <w:t xml:space="preserve"> and inquire what precautions are needed for hygiene and safety considerations. Once your JSA is completed, upload it to Mentor/PI Documentation. Additionally, please upload the JSA to this protocol under “Additional </w:t>
            </w:r>
            <w:r w:rsidRPr="00EA4C4D">
              <w:rPr>
                <w:rFonts w:ascii="Garamond" w:hAnsi="Garamond" w:cs="AppleSystemUIFont"/>
                <w:sz w:val="22"/>
                <w:szCs w:val="22"/>
              </w:rPr>
              <w:lastRenderedPageBreak/>
              <w:t>Documentation.” The EHS office will also review this “off-campus access requirements form” to provide you feedback on how to safely engage off-campus.</w:t>
            </w:r>
            <w:r w:rsidR="00A2575B">
              <w:rPr>
                <w:rFonts w:ascii="Garamond" w:hAnsi="Garamond" w:cs="AppleSystemUIFont"/>
                <w:sz w:val="22"/>
                <w:szCs w:val="22"/>
              </w:rPr>
              <w:t xml:space="preserve"> </w:t>
            </w:r>
            <w:r w:rsidR="00A2575B" w:rsidRPr="00A2575B">
              <w:rPr>
                <w:rFonts w:ascii="Garamond" w:hAnsi="Garamond" w:cs="AppleSystemUIFont"/>
                <w:sz w:val="22"/>
                <w:szCs w:val="22"/>
              </w:rPr>
              <w:t xml:space="preserve">Contact Patrick </w:t>
            </w:r>
            <w:proofErr w:type="spellStart"/>
            <w:r w:rsidR="00A2575B" w:rsidRPr="00A2575B">
              <w:rPr>
                <w:rFonts w:ascii="Garamond" w:hAnsi="Garamond" w:cs="AppleSystemUIFont"/>
                <w:sz w:val="22"/>
                <w:szCs w:val="22"/>
              </w:rPr>
              <w:t>Mathelier</w:t>
            </w:r>
            <w:proofErr w:type="spellEnd"/>
            <w:r w:rsidR="00A2575B" w:rsidRPr="00A2575B">
              <w:rPr>
                <w:rFonts w:ascii="Garamond" w:hAnsi="Garamond" w:cs="AppleSystemUIFont"/>
                <w:sz w:val="22"/>
                <w:szCs w:val="22"/>
              </w:rPr>
              <w:t xml:space="preserve"> Director of Environmental Health and Safety - ehs@tc.columbia.edu to schedule a Job Safety Assessment (JSA)</w:t>
            </w:r>
            <w:r w:rsidR="00A2575B">
              <w:rPr>
                <w:rFonts w:ascii="Garamond" w:hAnsi="Garamond" w:cs="AppleSystemUIFont"/>
                <w:sz w:val="22"/>
                <w:szCs w:val="22"/>
              </w:rPr>
              <w:t>.</w:t>
            </w:r>
          </w:p>
          <w:p w14:paraId="7F44D8E7" w14:textId="709F6038" w:rsidR="00631255" w:rsidRPr="00EA4C4D" w:rsidRDefault="00631255" w:rsidP="00631255">
            <w:pPr>
              <w:pStyle w:val="ListParagraph"/>
              <w:numPr>
                <w:ilvl w:val="0"/>
                <w:numId w:val="12"/>
              </w:numPr>
              <w:autoSpaceDE w:val="0"/>
              <w:autoSpaceDN w:val="0"/>
              <w:adjustRightInd w:val="0"/>
              <w:rPr>
                <w:rFonts w:ascii="Garamond" w:hAnsi="Garamond" w:cs="AppleSystemUIFont"/>
                <w:sz w:val="22"/>
                <w:szCs w:val="22"/>
              </w:rPr>
            </w:pPr>
            <w:r w:rsidRPr="00EA4C4D">
              <w:rPr>
                <w:rFonts w:ascii="Garamond" w:hAnsi="Garamond" w:cs="AppleSystemUIFont"/>
                <w:sz w:val="22"/>
                <w:szCs w:val="22"/>
              </w:rPr>
              <w:t xml:space="preserve">Research labs and centers leads must also complete the </w:t>
            </w:r>
            <w:hyperlink r:id="rId16" w:history="1">
              <w:r w:rsidRPr="00C73E07">
                <w:rPr>
                  <w:rStyle w:val="Hyperlink"/>
                  <w:rFonts w:ascii="Garamond" w:hAnsi="Garamond" w:cs="AppleSystemUIFont"/>
                  <w:sz w:val="22"/>
                  <w:szCs w:val="22"/>
                </w:rPr>
                <w:t>Research Safety Monitor Agreement (RSM)</w:t>
              </w:r>
            </w:hyperlink>
            <w:r w:rsidRPr="00EA4C4D">
              <w:rPr>
                <w:rFonts w:ascii="Garamond" w:hAnsi="Garamond" w:cs="AppleSystemUIFont"/>
                <w:sz w:val="22"/>
                <w:szCs w:val="22"/>
              </w:rPr>
              <w:t>. Please upload a RSM in Mentor/PI Documentation, if it is not there already, and upload the RSM to this protocol under “Additional Documentation.”</w:t>
            </w:r>
          </w:p>
          <w:p w14:paraId="430AB964" w14:textId="1ECC4971" w:rsidR="00BD1DAD" w:rsidRPr="00C73E07" w:rsidRDefault="00631255" w:rsidP="00BD1DAD">
            <w:pPr>
              <w:pStyle w:val="ListParagraph"/>
              <w:numPr>
                <w:ilvl w:val="0"/>
                <w:numId w:val="12"/>
              </w:numPr>
              <w:autoSpaceDE w:val="0"/>
              <w:autoSpaceDN w:val="0"/>
              <w:adjustRightInd w:val="0"/>
              <w:rPr>
                <w:rFonts w:ascii="Garamond" w:hAnsi="Garamond" w:cs="AppleSystemUIFont"/>
                <w:sz w:val="22"/>
                <w:szCs w:val="22"/>
              </w:rPr>
            </w:pPr>
            <w:r w:rsidRPr="00EA4C4D">
              <w:rPr>
                <w:rFonts w:ascii="Garamond" w:hAnsi="Garamond" w:cs="AppleSystemUIFont"/>
                <w:sz w:val="22"/>
                <w:szCs w:val="22"/>
              </w:rPr>
              <w:t>Update the consent forms to include COVID-19 language (this language is now in our Consent Form templates under Mentor IRB&gt;Documentation). When restrictions are lifted and in-person data collection is permitted, complete a modification to request a start of face-to-face activities. Include the updated consent form with COVID-19 language in the modification. Once this updated consent form is approved and stamped, it can be used for data collection.</w:t>
            </w:r>
          </w:p>
        </w:tc>
        <w:tc>
          <w:tcPr>
            <w:tcW w:w="3686" w:type="dxa"/>
          </w:tcPr>
          <w:p w14:paraId="0D76FD3C" w14:textId="4924F074" w:rsidR="00BD1DAD" w:rsidRPr="00EA4C4D" w:rsidRDefault="00BD1DAD" w:rsidP="00BD1DAD">
            <w:pPr>
              <w:rPr>
                <w:rFonts w:ascii="Garamond" w:hAnsi="Garamond"/>
                <w:sz w:val="22"/>
                <w:szCs w:val="22"/>
              </w:rPr>
            </w:pPr>
            <w:r w:rsidRPr="00EA4C4D">
              <w:rPr>
                <w:rFonts w:ascii="Garamond" w:hAnsi="Garamond"/>
                <w:color w:val="0070C0"/>
                <w:sz w:val="22"/>
                <w:szCs w:val="22"/>
              </w:rPr>
              <w:lastRenderedPageBreak/>
              <w:t>[</w:t>
            </w:r>
            <w:r w:rsidRPr="00EA4C4D">
              <w:rPr>
                <w:rFonts w:ascii="Garamond" w:hAnsi="Garamond"/>
                <w:i/>
                <w:iCs/>
                <w:color w:val="0070C0"/>
                <w:sz w:val="22"/>
                <w:szCs w:val="22"/>
              </w:rPr>
              <w:t>List the Off-Campus safety and hygiene plans</w:t>
            </w:r>
            <w:r w:rsidR="00631255" w:rsidRPr="00EA4C4D">
              <w:rPr>
                <w:rFonts w:ascii="Garamond" w:hAnsi="Garamond"/>
                <w:i/>
                <w:iCs/>
                <w:color w:val="0070C0"/>
                <w:sz w:val="22"/>
                <w:szCs w:val="22"/>
              </w:rPr>
              <w:t xml:space="preserve"> (include weblinks where applicable</w:t>
            </w:r>
            <w:r w:rsidR="00597869">
              <w:rPr>
                <w:rFonts w:ascii="Garamond" w:hAnsi="Garamond"/>
                <w:i/>
                <w:iCs/>
                <w:color w:val="0070C0"/>
                <w:sz w:val="22"/>
                <w:szCs w:val="22"/>
              </w:rPr>
              <w:t>)</w:t>
            </w:r>
            <w:r w:rsidRPr="00EA4C4D">
              <w:rPr>
                <w:rFonts w:ascii="Garamond" w:hAnsi="Garamond"/>
                <w:i/>
                <w:iCs/>
                <w:color w:val="0070C0"/>
                <w:sz w:val="22"/>
                <w:szCs w:val="22"/>
              </w:rPr>
              <w:t>.</w:t>
            </w:r>
            <w:r w:rsidR="00631255" w:rsidRPr="00EA4C4D">
              <w:rPr>
                <w:rFonts w:ascii="Garamond" w:hAnsi="Garamond"/>
                <w:i/>
                <w:iCs/>
                <w:color w:val="0070C0"/>
                <w:sz w:val="22"/>
                <w:szCs w:val="22"/>
              </w:rPr>
              <w:t xml:space="preserve"> These plans will be reviewed by TC’s Environmental Health and Safety Office.</w:t>
            </w:r>
            <w:r w:rsidRPr="00EA4C4D">
              <w:rPr>
                <w:rFonts w:ascii="Garamond" w:hAnsi="Garamond"/>
                <w:color w:val="0070C0"/>
                <w:sz w:val="22"/>
                <w:szCs w:val="22"/>
              </w:rPr>
              <w:t>]</w:t>
            </w:r>
          </w:p>
        </w:tc>
        <w:tc>
          <w:tcPr>
            <w:tcW w:w="3073" w:type="dxa"/>
          </w:tcPr>
          <w:p w14:paraId="28DD9A59" w14:textId="4BC5B6F1" w:rsidR="00BD1DAD" w:rsidRPr="00EA4C4D" w:rsidRDefault="00BD1DAD" w:rsidP="00BD1DAD">
            <w:pPr>
              <w:rPr>
                <w:rFonts w:ascii="Garamond" w:hAnsi="Garamond"/>
                <w:sz w:val="22"/>
                <w:szCs w:val="22"/>
              </w:rPr>
            </w:pPr>
          </w:p>
        </w:tc>
      </w:tr>
      <w:tr w:rsidR="00BD1DAD" w:rsidRPr="00EA4C4D" w14:paraId="1BA2D595" w14:textId="77777777" w:rsidTr="000C128B">
        <w:trPr>
          <w:trHeight w:val="1844"/>
        </w:trPr>
        <w:tc>
          <w:tcPr>
            <w:tcW w:w="1340" w:type="dxa"/>
            <w:vAlign w:val="center"/>
          </w:tcPr>
          <w:p w14:paraId="20D19020" w14:textId="0C2C9704" w:rsidR="00BD1DAD" w:rsidRPr="00EA4C4D" w:rsidRDefault="00BD1DAD" w:rsidP="00BD1DAD">
            <w:pPr>
              <w:spacing w:line="276" w:lineRule="auto"/>
              <w:jc w:val="center"/>
              <w:rPr>
                <w:rFonts w:ascii="Garamond" w:hAnsi="Garamond"/>
                <w:b/>
                <w:sz w:val="22"/>
                <w:szCs w:val="22"/>
              </w:rPr>
            </w:pPr>
            <w:r w:rsidRPr="00EA4C4D">
              <w:rPr>
                <w:rFonts w:ascii="Garamond" w:hAnsi="Garamond"/>
                <w:b/>
                <w:sz w:val="22"/>
                <w:szCs w:val="22"/>
              </w:rPr>
              <w:t>Contact Information</w:t>
            </w:r>
          </w:p>
        </w:tc>
        <w:tc>
          <w:tcPr>
            <w:tcW w:w="4809" w:type="dxa"/>
          </w:tcPr>
          <w:p w14:paraId="4F675036" w14:textId="31A6A996" w:rsidR="00BD1DAD" w:rsidRPr="00EA4C4D" w:rsidRDefault="00BD1DAD" w:rsidP="00BD1DAD">
            <w:pPr>
              <w:rPr>
                <w:rFonts w:ascii="Garamond" w:hAnsi="Garamond"/>
                <w:sz w:val="22"/>
                <w:szCs w:val="22"/>
              </w:rPr>
            </w:pPr>
            <w:r w:rsidRPr="00EA4C4D">
              <w:rPr>
                <w:rFonts w:ascii="Garamond" w:hAnsi="Garamond"/>
                <w:sz w:val="22"/>
                <w:szCs w:val="22"/>
              </w:rPr>
              <w:t xml:space="preserve">Office of Environmental Health &amp; Safety </w:t>
            </w:r>
            <w:hyperlink r:id="rId17" w:history="1">
              <w:r w:rsidRPr="00EA4C4D">
                <w:rPr>
                  <w:rStyle w:val="Hyperlink"/>
                  <w:rFonts w:ascii="Garamond" w:hAnsi="Garamond"/>
                  <w:sz w:val="22"/>
                  <w:szCs w:val="22"/>
                </w:rPr>
                <w:t>ehs@tc.columbia.edu</w:t>
              </w:r>
            </w:hyperlink>
            <w:r w:rsidRPr="00EA4C4D">
              <w:rPr>
                <w:rFonts w:ascii="Garamond" w:hAnsi="Garamond"/>
                <w:sz w:val="22"/>
                <w:szCs w:val="22"/>
              </w:rPr>
              <w:t>, 212-678-6640</w:t>
            </w:r>
            <w:r w:rsidRPr="00EA4C4D">
              <w:rPr>
                <w:rFonts w:ascii="Garamond" w:hAnsi="Garamond"/>
                <w:sz w:val="22"/>
                <w:szCs w:val="22"/>
              </w:rPr>
              <w:br/>
              <w:t xml:space="preserve">Patrick </w:t>
            </w:r>
            <w:proofErr w:type="spellStart"/>
            <w:r w:rsidRPr="00EA4C4D">
              <w:rPr>
                <w:rFonts w:ascii="Garamond" w:hAnsi="Garamond"/>
                <w:sz w:val="22"/>
                <w:szCs w:val="22"/>
              </w:rPr>
              <w:t>Mathelier</w:t>
            </w:r>
            <w:proofErr w:type="spellEnd"/>
            <w:r w:rsidRPr="00EA4C4D">
              <w:rPr>
                <w:rFonts w:ascii="Garamond" w:hAnsi="Garamond"/>
                <w:sz w:val="22"/>
                <w:szCs w:val="22"/>
              </w:rPr>
              <w:t xml:space="preserve">, Director </w:t>
            </w:r>
          </w:p>
          <w:p w14:paraId="5EA49508" w14:textId="77777777" w:rsidR="00BD1DAD" w:rsidRPr="00EA4C4D" w:rsidRDefault="00BD1DAD" w:rsidP="00BD1DAD">
            <w:pPr>
              <w:rPr>
                <w:rFonts w:ascii="Garamond" w:hAnsi="Garamond"/>
                <w:sz w:val="22"/>
                <w:szCs w:val="22"/>
              </w:rPr>
            </w:pPr>
          </w:p>
          <w:p w14:paraId="4FC5290E" w14:textId="77777777" w:rsidR="00BD1DAD" w:rsidRPr="00EA4C4D" w:rsidRDefault="00BD1DAD" w:rsidP="00BD1DAD">
            <w:pPr>
              <w:rPr>
                <w:rFonts w:ascii="Garamond" w:hAnsi="Garamond"/>
                <w:sz w:val="22"/>
                <w:szCs w:val="22"/>
              </w:rPr>
            </w:pPr>
            <w:r w:rsidRPr="00EA4C4D">
              <w:rPr>
                <w:rFonts w:ascii="Garamond" w:hAnsi="Garamond"/>
                <w:sz w:val="22"/>
                <w:szCs w:val="22"/>
              </w:rPr>
              <w:t xml:space="preserve">Institutional Review Board </w:t>
            </w:r>
            <w:r w:rsidRPr="00EA4C4D">
              <w:rPr>
                <w:rFonts w:ascii="Garamond" w:hAnsi="Garamond"/>
                <w:sz w:val="22"/>
                <w:szCs w:val="22"/>
              </w:rPr>
              <w:br/>
            </w:r>
            <w:hyperlink r:id="rId18" w:history="1">
              <w:r w:rsidRPr="00EA4C4D">
                <w:rPr>
                  <w:rStyle w:val="Hyperlink"/>
                  <w:rFonts w:ascii="Garamond" w:hAnsi="Garamond"/>
                  <w:sz w:val="22"/>
                  <w:szCs w:val="22"/>
                </w:rPr>
                <w:t>IRB@tc.edu</w:t>
              </w:r>
            </w:hyperlink>
            <w:r w:rsidRPr="00EA4C4D">
              <w:rPr>
                <w:rFonts w:ascii="Garamond" w:hAnsi="Garamond"/>
                <w:sz w:val="22"/>
                <w:szCs w:val="22"/>
              </w:rPr>
              <w:t>, 212-678-4105</w:t>
            </w:r>
          </w:p>
          <w:p w14:paraId="2292EC1A" w14:textId="7A02A6F6" w:rsidR="00BD1DAD" w:rsidRPr="00EA4C4D" w:rsidRDefault="00BD1DAD" w:rsidP="00BD1DAD">
            <w:pPr>
              <w:rPr>
                <w:rFonts w:ascii="Garamond" w:hAnsi="Garamond"/>
                <w:sz w:val="22"/>
                <w:szCs w:val="22"/>
              </w:rPr>
            </w:pPr>
            <w:r w:rsidRPr="00EA4C4D">
              <w:rPr>
                <w:rFonts w:ascii="Garamond" w:hAnsi="Garamond"/>
                <w:sz w:val="22"/>
                <w:szCs w:val="22"/>
              </w:rPr>
              <w:t>Dr. Myra Luna-Lucero, Director</w:t>
            </w:r>
          </w:p>
        </w:tc>
        <w:tc>
          <w:tcPr>
            <w:tcW w:w="3686" w:type="dxa"/>
          </w:tcPr>
          <w:p w14:paraId="79785811" w14:textId="17906453" w:rsidR="00BD1DAD" w:rsidRPr="00EA4C4D" w:rsidRDefault="00BD1DAD" w:rsidP="00BD1DAD">
            <w:pPr>
              <w:rPr>
                <w:rFonts w:ascii="Garamond" w:hAnsi="Garamond"/>
                <w:color w:val="4472C4" w:themeColor="accent5"/>
                <w:sz w:val="22"/>
                <w:szCs w:val="22"/>
              </w:rPr>
            </w:pPr>
            <w:r w:rsidRPr="00EA4C4D">
              <w:rPr>
                <w:rFonts w:ascii="Garamond" w:hAnsi="Garamond"/>
                <w:color w:val="0070C0"/>
                <w:sz w:val="22"/>
                <w:szCs w:val="22"/>
              </w:rPr>
              <w:t>[</w:t>
            </w:r>
            <w:r w:rsidRPr="00EA4C4D">
              <w:rPr>
                <w:rFonts w:ascii="Garamond" w:hAnsi="Garamond"/>
                <w:i/>
                <w:iCs/>
                <w:color w:val="0070C0"/>
                <w:sz w:val="22"/>
                <w:szCs w:val="22"/>
              </w:rPr>
              <w:t>List</w:t>
            </w:r>
            <w:r w:rsidR="00354BDD">
              <w:rPr>
                <w:rFonts w:ascii="Garamond" w:hAnsi="Garamond"/>
                <w:i/>
                <w:iCs/>
                <w:color w:val="0070C0"/>
                <w:sz w:val="22"/>
                <w:szCs w:val="22"/>
              </w:rPr>
              <w:t xml:space="preserve"> the name(s) of the responsible person (or contact) in case of a health and safety emergency</w:t>
            </w:r>
            <w:r w:rsidR="00354BDD">
              <w:rPr>
                <w:rFonts w:ascii="Garamond" w:hAnsi="Garamond"/>
                <w:color w:val="0070C0"/>
                <w:sz w:val="22"/>
                <w:szCs w:val="22"/>
              </w:rPr>
              <w:t>].</w:t>
            </w:r>
            <w:r w:rsidR="00354BDD" w:rsidRPr="00EA4C4D">
              <w:rPr>
                <w:rFonts w:ascii="Garamond" w:hAnsi="Garamond"/>
                <w:color w:val="4472C4" w:themeColor="accent5"/>
                <w:sz w:val="22"/>
                <w:szCs w:val="22"/>
              </w:rPr>
              <w:t xml:space="preserve"> </w:t>
            </w:r>
          </w:p>
        </w:tc>
        <w:tc>
          <w:tcPr>
            <w:tcW w:w="3073" w:type="dxa"/>
          </w:tcPr>
          <w:p w14:paraId="18D76DFA" w14:textId="77777777" w:rsidR="00BD1DAD" w:rsidRPr="00EA4C4D" w:rsidRDefault="00BD1DAD" w:rsidP="00BD1DAD">
            <w:pPr>
              <w:rPr>
                <w:rFonts w:ascii="Garamond" w:hAnsi="Garamond"/>
                <w:sz w:val="22"/>
                <w:szCs w:val="22"/>
              </w:rPr>
            </w:pPr>
          </w:p>
        </w:tc>
      </w:tr>
    </w:tbl>
    <w:p w14:paraId="056DBC81" w14:textId="24D6793C" w:rsidR="00FC6EA6" w:rsidRPr="00EA4C4D" w:rsidRDefault="00FC6EA6" w:rsidP="005021CB">
      <w:pPr>
        <w:spacing w:line="276" w:lineRule="auto"/>
        <w:rPr>
          <w:rFonts w:ascii="Garamond" w:hAnsi="Garamond"/>
          <w:sz w:val="22"/>
          <w:szCs w:val="22"/>
        </w:rPr>
      </w:pPr>
    </w:p>
    <w:p w14:paraId="52F5B3C2" w14:textId="14977D09" w:rsidR="005021CB" w:rsidRPr="00EA4C4D" w:rsidRDefault="005021CB" w:rsidP="005021CB">
      <w:pPr>
        <w:spacing w:line="276" w:lineRule="auto"/>
        <w:rPr>
          <w:rFonts w:ascii="Garamond" w:hAnsi="Garamond"/>
          <w:sz w:val="22"/>
          <w:szCs w:val="22"/>
        </w:rPr>
      </w:pPr>
      <w:r w:rsidRPr="00EA4C4D">
        <w:rPr>
          <w:rFonts w:ascii="Garamond" w:hAnsi="Garamond"/>
          <w:sz w:val="22"/>
          <w:szCs w:val="22"/>
        </w:rPr>
        <w:t>OTHER COMMENTS OR EXPLANATIONS</w:t>
      </w:r>
      <w:r w:rsidR="00105297" w:rsidRPr="00EA4C4D">
        <w:rPr>
          <w:rFonts w:ascii="Garamond" w:hAnsi="Garamond"/>
          <w:sz w:val="22"/>
          <w:szCs w:val="22"/>
        </w:rPr>
        <w:t xml:space="preserve"> (add any additional relevant supplemental information pertaining of off-site research)</w:t>
      </w:r>
      <w:r w:rsidRPr="00EA4C4D">
        <w:rPr>
          <w:rFonts w:ascii="Garamond" w:hAnsi="Garamond"/>
          <w:sz w:val="22"/>
          <w:szCs w:val="22"/>
        </w:rPr>
        <w:t>:</w:t>
      </w:r>
    </w:p>
    <w:p w14:paraId="7C043CEF" w14:textId="49A2843A" w:rsidR="005021CB" w:rsidRPr="00EA4C4D" w:rsidRDefault="005021CB" w:rsidP="005021CB">
      <w:pPr>
        <w:spacing w:line="276" w:lineRule="auto"/>
        <w:rPr>
          <w:rFonts w:ascii="Garamond" w:hAnsi="Garamond"/>
          <w:b/>
          <w:bCs/>
          <w:sz w:val="22"/>
          <w:szCs w:val="22"/>
        </w:rPr>
      </w:pPr>
    </w:p>
    <w:p w14:paraId="27B1715A" w14:textId="27F1B101" w:rsidR="005021CB" w:rsidRPr="00EA4C4D" w:rsidRDefault="005021CB" w:rsidP="005021CB">
      <w:pPr>
        <w:spacing w:line="276" w:lineRule="auto"/>
        <w:rPr>
          <w:rFonts w:ascii="Garamond" w:hAnsi="Garamond"/>
          <w:b/>
          <w:bCs/>
          <w:sz w:val="22"/>
          <w:szCs w:val="22"/>
        </w:rPr>
      </w:pPr>
      <w:r w:rsidRPr="00EA4C4D">
        <w:rPr>
          <w:rFonts w:ascii="Garamond" w:hAnsi="Garamond"/>
          <w:b/>
          <w:bCs/>
          <w:sz w:val="22"/>
          <w:szCs w:val="22"/>
        </w:rPr>
        <w:t>_____________________________________________________________________________________________________________________</w:t>
      </w:r>
    </w:p>
    <w:sectPr w:rsidR="005021CB" w:rsidRPr="00EA4C4D" w:rsidSect="006E702D">
      <w:headerReference w:type="default" r:id="rId19"/>
      <w:footerReference w:type="default" r:id="rId20"/>
      <w:headerReference w:type="first" r:id="rId21"/>
      <w:footerReference w:type="first" r:id="rId22"/>
      <w:pgSz w:w="15840" w:h="12240" w:orient="landscape"/>
      <w:pgMar w:top="1440" w:right="1440" w:bottom="1440" w:left="1440" w:header="708" w:footer="708"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D6805" w14:textId="77777777" w:rsidR="001F1629" w:rsidRDefault="001F1629" w:rsidP="00E006F3">
      <w:r>
        <w:separator/>
      </w:r>
    </w:p>
  </w:endnote>
  <w:endnote w:type="continuationSeparator" w:id="0">
    <w:p w14:paraId="3BBEBD50" w14:textId="77777777" w:rsidR="001F1629" w:rsidRDefault="001F1629" w:rsidP="00E0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Gill Sans">
    <w:altName w:val="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6A58E" w14:textId="18329B31" w:rsidR="004E6DC5" w:rsidRPr="005D7C7D" w:rsidRDefault="00B75695" w:rsidP="009231B9">
    <w:pPr>
      <w:pBdr>
        <w:top w:val="nil"/>
        <w:left w:val="nil"/>
        <w:bottom w:val="nil"/>
        <w:right w:val="nil"/>
        <w:between w:val="nil"/>
      </w:pBdr>
      <w:tabs>
        <w:tab w:val="center" w:pos="4320"/>
        <w:tab w:val="right" w:pos="8640"/>
      </w:tabs>
      <w:jc w:val="right"/>
      <w:rPr>
        <w:color w:val="000000"/>
      </w:rPr>
    </w:pPr>
    <w:r>
      <w:rPr>
        <w:noProof/>
        <w:color w:val="000000"/>
      </w:rPr>
      <w:drawing>
        <wp:inline distT="0" distB="0" distL="0" distR="0" wp14:anchorId="4163E2D8" wp14:editId="57B9F026">
          <wp:extent cx="1757076" cy="51098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781745" cy="51816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C3FCB" w14:textId="55ADC196" w:rsidR="00B75695" w:rsidRDefault="00B75695" w:rsidP="00B8290F">
    <w:pPr>
      <w:pStyle w:val="Footer"/>
      <w:jc w:val="right"/>
    </w:pPr>
    <w:r>
      <w:rPr>
        <w:noProof/>
        <w:color w:val="000000"/>
      </w:rPr>
      <w:drawing>
        <wp:inline distT="0" distB="0" distL="0" distR="0" wp14:anchorId="05E88C3C" wp14:editId="45588D1F">
          <wp:extent cx="1757076" cy="51098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781745" cy="51816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B834C" w14:textId="77777777" w:rsidR="001F1629" w:rsidRDefault="001F1629" w:rsidP="00E006F3">
      <w:r>
        <w:separator/>
      </w:r>
    </w:p>
  </w:footnote>
  <w:footnote w:type="continuationSeparator" w:id="0">
    <w:p w14:paraId="3851329D" w14:textId="77777777" w:rsidR="001F1629" w:rsidRDefault="001F1629" w:rsidP="00E00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51642" w14:textId="6359DF85" w:rsidR="00702BBD" w:rsidRDefault="00702BBD" w:rsidP="009231B9">
    <w:pPr>
      <w:tabs>
        <w:tab w:val="center" w:pos="4680"/>
      </w:tabs>
      <w:rPr>
        <w:color w:val="000000"/>
      </w:rPr>
    </w:pPr>
    <w:r>
      <w:rPr>
        <w:rFonts w:ascii="Gill Sans" w:eastAsia="Gill Sans" w:hAnsi="Gill Sans" w:cs="Gill Sans"/>
        <w:color w:val="004B87"/>
        <w:sz w:val="21"/>
        <w:szCs w:val="21"/>
      </w:rPr>
      <w:t>TEACHERS COLLEGE INSTITUTIONAL REVIEW BOARD</w:t>
    </w:r>
    <w:r>
      <w:rPr>
        <w:rFonts w:ascii="Arial" w:hAnsi="Arial" w:cs="Arial"/>
        <w:color w:val="4D5156"/>
        <w:sz w:val="21"/>
        <w:szCs w:val="21"/>
        <w:shd w:val="clear" w:color="auto" w:fill="FFFFFF"/>
      </w:rPr>
      <w:t xml:space="preserve"> </w:t>
    </w:r>
    <w:r w:rsidR="00B75695">
      <w:rPr>
        <w:rFonts w:ascii="Arial" w:hAnsi="Arial" w:cs="Arial"/>
        <w:color w:val="4D5156"/>
        <w:sz w:val="21"/>
        <w:szCs w:val="21"/>
        <w:shd w:val="clear" w:color="auto" w:fill="FFFFFF"/>
      </w:rPr>
      <w:tab/>
      <w:t xml:space="preserve">   </w:t>
    </w:r>
    <w:r w:rsidR="00B75695">
      <w:rPr>
        <w:rFonts w:ascii="Arial" w:hAnsi="Arial" w:cs="Arial"/>
        <w:color w:val="4D5156"/>
        <w:sz w:val="21"/>
        <w:szCs w:val="21"/>
        <w:shd w:val="clear" w:color="auto" w:fill="FFFFFF"/>
      </w:rPr>
      <w:tab/>
    </w:r>
    <w:r w:rsidR="00B75695">
      <w:rPr>
        <w:rFonts w:ascii="Arial" w:hAnsi="Arial" w:cs="Arial"/>
        <w:color w:val="4D5156"/>
        <w:sz w:val="21"/>
        <w:szCs w:val="21"/>
        <w:shd w:val="clear" w:color="auto" w:fill="FFFFFF"/>
      </w:rPr>
      <w:tab/>
    </w:r>
    <w:r w:rsidR="00B75695">
      <w:rPr>
        <w:rFonts w:ascii="Arial" w:hAnsi="Arial" w:cs="Arial"/>
        <w:color w:val="4D5156"/>
        <w:sz w:val="21"/>
        <w:szCs w:val="21"/>
        <w:shd w:val="clear" w:color="auto" w:fill="FFFFFF"/>
      </w:rPr>
      <w:tab/>
    </w:r>
    <w:r w:rsidR="00B75695">
      <w:rPr>
        <w:rFonts w:ascii="Arial" w:hAnsi="Arial" w:cs="Arial"/>
        <w:color w:val="4D5156"/>
        <w:sz w:val="21"/>
        <w:szCs w:val="21"/>
        <w:shd w:val="clear" w:color="auto" w:fill="FFFFFF"/>
      </w:rPr>
      <w:tab/>
    </w:r>
    <w:r w:rsidR="00B75695">
      <w:rPr>
        <w:rFonts w:ascii="Arial" w:hAnsi="Arial" w:cs="Arial"/>
        <w:color w:val="4D5156"/>
        <w:sz w:val="21"/>
        <w:szCs w:val="21"/>
        <w:shd w:val="clear" w:color="auto" w:fill="FFFFFF"/>
      </w:rPr>
      <w:tab/>
    </w:r>
    <w:r w:rsidR="000C128B">
      <w:rPr>
        <w:rFonts w:ascii="Gill Sans" w:eastAsia="Gill Sans" w:hAnsi="Gill Sans" w:cs="Gill Sans"/>
        <w:color w:val="004B87"/>
        <w:sz w:val="21"/>
        <w:szCs w:val="21"/>
      </w:rPr>
      <w:t>OFF-CAMPUS ACCESS</w:t>
    </w:r>
    <w:r w:rsidR="00275245">
      <w:rPr>
        <w:rFonts w:ascii="Gill Sans" w:eastAsia="Gill Sans" w:hAnsi="Gill Sans" w:cs="Gill Sans"/>
        <w:color w:val="004B87"/>
        <w:sz w:val="21"/>
        <w:szCs w:val="21"/>
      </w:rPr>
      <w:t xml:space="preserve"> REQUIREMENTS</w:t>
    </w:r>
  </w:p>
  <w:p w14:paraId="441BCEE5" w14:textId="0C08E228" w:rsidR="00C77DFC" w:rsidRPr="007D6FBB" w:rsidRDefault="00B75695" w:rsidP="009231B9">
    <w:pPr>
      <w:tabs>
        <w:tab w:val="center" w:pos="4680"/>
        <w:tab w:val="right" w:pos="9360"/>
      </w:tabs>
      <w:rPr>
        <w:rFonts w:ascii="Gill Sans MT" w:hAnsi="Gill Sans MT"/>
        <w:b/>
        <w:bCs/>
      </w:rPr>
    </w:pPr>
    <w:r w:rsidRPr="00975AF6">
      <w:rPr>
        <w:rFonts w:ascii="Gill Sans MT" w:hAnsi="Gill Sans MT"/>
        <w:b/>
        <w:bCs/>
        <w:noProof/>
        <w:color w:val="003B5C"/>
        <w:spacing w:val="40"/>
        <w:sz w:val="28"/>
        <w:szCs w:val="28"/>
      </w:rPr>
      <mc:AlternateContent>
        <mc:Choice Requires="wps">
          <w:drawing>
            <wp:anchor distT="0" distB="0" distL="114300" distR="114300" simplePos="0" relativeHeight="251665408" behindDoc="0" locked="0" layoutInCell="1" allowOverlap="1" wp14:anchorId="2E23B3BA" wp14:editId="0E94C18B">
              <wp:simplePos x="0" y="0"/>
              <wp:positionH relativeFrom="margin">
                <wp:posOffset>8964</wp:posOffset>
              </wp:positionH>
              <wp:positionV relativeFrom="paragraph">
                <wp:posOffset>33879</wp:posOffset>
              </wp:positionV>
              <wp:extent cx="8148917" cy="0"/>
              <wp:effectExtent l="0" t="0" r="17780" b="12700"/>
              <wp:wrapNone/>
              <wp:docPr id="3" name="Straight Connector 3"/>
              <wp:cNvGraphicFramePr/>
              <a:graphic xmlns:a="http://schemas.openxmlformats.org/drawingml/2006/main">
                <a:graphicData uri="http://schemas.microsoft.com/office/word/2010/wordprocessingShape">
                  <wps:wsp>
                    <wps:cNvCnPr/>
                    <wps:spPr>
                      <a:xfrm>
                        <a:off x="0" y="0"/>
                        <a:ext cx="8148917" cy="0"/>
                      </a:xfrm>
                      <a:prstGeom prst="line">
                        <a:avLst/>
                      </a:prstGeom>
                      <a:ln w="12700">
                        <a:solidFill>
                          <a:srgbClr val="FFC2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3AA369"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pt,2.65pt" to="642.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ev3gEAAA4EAAAOAAAAZHJzL2Uyb0RvYy54bWysU02P0zAQvSPxHyzfaZIuYkvUdA9ZlQuC&#10;ioUf4Dp2YslfGpsm/feMnTS7AoQE4uJk7Jk37z2P9w+T0eQiIChnG1ptSkqE5a5Ttm/ot6/HNztK&#10;QmS2Y9pZ0dCrCPTh8PrVfvS12LrB6U4AQRAb6tE3dIjR10UR+CAMCxvnhcVD6cCwiCH0RQdsRHSj&#10;i21ZvitGB50Hx0UIuPs4H9JDxpdS8PhZyiAi0Q1FbjGvkNdzWovDntU9MD8ovtBg/8DCMGWx6Qr1&#10;yCIj30H9AmUUBxecjBvuTOGkVFxkDaimKn9S8zQwL7IWNCf41abw/2D5p8sJiOoaekeJZQav6CkC&#10;U/0QSeusRQMdkLvk0+hDjemtPcESBX+CJHqSYNIX5ZApe3tdvRVTJBw3d9Xb3fvqnhJ+OyueCz2E&#10;+EE4Q9JPQ7WySTar2eVjiNgMU28paVtbMuKwbe/LMqcFp1V3VFqnwwD9udVALgyv/Hhst1Wb2CPE&#10;izSMtMXNpGlWkf/iVYu5wRch0RXkXc0d0jyKFZZxLmysFlxtMTuVSaSwFi7U/lS45KdSkWf1b4rX&#10;itzZ2bgWG2Ud/I52nG6U5Zx/c2DWnSw4u+6a7zdbg0OXnVseSJrql3Euf37Ghx8AAAD//wMAUEsD&#10;BBQABgAIAAAAIQDrYnJw3wAAAAsBAAAPAAAAZHJzL2Rvd25yZXYueG1sTE/JTsMwEL0j8Q/WIHGj&#10;ThdKlMapIiq4AoVW4ubGQxLhJbLdJunXM+UCl5HevJm35OvBaHZCH1pnBUwnCTC0lVOtrQV8vD/d&#10;pcBClFZJ7SwKGDHAuri+ymWmXG/f8LSNNSMRGzIpoImxyzgPVYNGhonr0BL35byRkaCvufKyJ3Gj&#10;+SxJltzI1pJDIzt8bLD63h6NgHR8nZ71btmXe/8yNs+fZyznGyFub4bNika5AhZxiH8fcOlA+aGg&#10;YAd3tCowTXhBhwLu58Au7CxdPAA7/C54kfP/HYofAAAA//8DAFBLAQItABQABgAIAAAAIQC2gziS&#10;/gAAAOEBAAATAAAAAAAAAAAAAAAAAAAAAABbQ29udGVudF9UeXBlc10ueG1sUEsBAi0AFAAGAAgA&#10;AAAhADj9If/WAAAAlAEAAAsAAAAAAAAAAAAAAAAALwEAAF9yZWxzLy5yZWxzUEsBAi0AFAAGAAgA&#10;AAAhAGXV16/eAQAADgQAAA4AAAAAAAAAAAAAAAAALgIAAGRycy9lMm9Eb2MueG1sUEsBAi0AFAAG&#10;AAgAAAAhAOticnDfAAAACwEAAA8AAAAAAAAAAAAAAAAAOAQAAGRycy9kb3ducmV2LnhtbFBLBQYA&#10;AAAABAAEAPMAAABEBQAAAAA=&#10;" strokecolor="#ffc21c" strokeweight="1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DF253" w14:textId="03AAE45E" w:rsidR="006E702D" w:rsidRPr="00975AF6" w:rsidRDefault="006E702D" w:rsidP="006E702D">
    <w:pPr>
      <w:tabs>
        <w:tab w:val="center" w:pos="4680"/>
        <w:tab w:val="right" w:pos="9360"/>
      </w:tabs>
      <w:jc w:val="right"/>
      <w:rPr>
        <w:rFonts w:ascii="Gill Sans MT" w:eastAsia="Gill Sans" w:hAnsi="Gill Sans MT" w:cs="Gill Sans"/>
        <w:b/>
        <w:color w:val="003B5C"/>
        <w:sz w:val="28"/>
        <w:szCs w:val="28"/>
      </w:rPr>
    </w:pPr>
    <w:r w:rsidRPr="00975AF6">
      <w:rPr>
        <w:rFonts w:ascii="Gill Sans MT" w:hAnsi="Gill Sans MT"/>
        <w:noProof/>
        <w:sz w:val="22"/>
        <w:szCs w:val="22"/>
      </w:rPr>
      <w:drawing>
        <wp:anchor distT="0" distB="0" distL="114300" distR="114300" simplePos="0" relativeHeight="251662336" behindDoc="0" locked="0" layoutInCell="1" hidden="0" allowOverlap="1" wp14:anchorId="4F591619" wp14:editId="27B190DB">
          <wp:simplePos x="0" y="0"/>
          <wp:positionH relativeFrom="margin">
            <wp:align>left</wp:align>
          </wp:positionH>
          <wp:positionV relativeFrom="paragraph">
            <wp:posOffset>6350</wp:posOffset>
          </wp:positionV>
          <wp:extent cx="1433195" cy="621665"/>
          <wp:effectExtent l="0" t="0" r="0" b="6985"/>
          <wp:wrapSquare wrapText="bothSides" distT="0" distB="0" distL="114300" distR="114300"/>
          <wp:docPr id="2"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1"/>
                  <a:srcRect/>
                  <a:stretch>
                    <a:fillRect/>
                  </a:stretch>
                </pic:blipFill>
                <pic:spPr>
                  <a:xfrm>
                    <a:off x="0" y="0"/>
                    <a:ext cx="1433195" cy="621665"/>
                  </a:xfrm>
                  <a:prstGeom prst="rect">
                    <a:avLst/>
                  </a:prstGeom>
                  <a:ln/>
                </pic:spPr>
              </pic:pic>
            </a:graphicData>
          </a:graphic>
        </wp:anchor>
      </w:drawing>
    </w:r>
    <w:r>
      <w:rPr>
        <w:rFonts w:ascii="Gill Sans MT" w:eastAsia="Gill Sans" w:hAnsi="Gill Sans MT" w:cs="Gill Sans"/>
        <w:b/>
        <w:color w:val="003B5C"/>
        <w:sz w:val="28"/>
        <w:szCs w:val="28"/>
      </w:rPr>
      <w:t xml:space="preserve"> </w:t>
    </w:r>
    <w:r w:rsidR="00385B54">
      <w:rPr>
        <w:rFonts w:ascii="Gill Sans MT" w:eastAsia="Gill Sans" w:hAnsi="Gill Sans MT" w:cs="Gill Sans"/>
        <w:b/>
        <w:color w:val="003B5C"/>
        <w:sz w:val="28"/>
        <w:szCs w:val="28"/>
      </w:rPr>
      <w:t>OFF-CAMPUS A</w:t>
    </w:r>
    <w:r>
      <w:rPr>
        <w:rFonts w:ascii="Gill Sans MT" w:eastAsia="Gill Sans" w:hAnsi="Gill Sans MT" w:cs="Gill Sans"/>
        <w:b/>
        <w:color w:val="003B5C"/>
        <w:sz w:val="28"/>
        <w:szCs w:val="28"/>
      </w:rPr>
      <w:t>CCESS REQUIREMENTS</w:t>
    </w:r>
  </w:p>
  <w:p w14:paraId="69B64C1E" w14:textId="77777777" w:rsidR="006E702D" w:rsidRPr="007D6FBB" w:rsidRDefault="006E702D" w:rsidP="006E702D">
    <w:pPr>
      <w:tabs>
        <w:tab w:val="center" w:pos="4680"/>
        <w:tab w:val="right" w:pos="9360"/>
      </w:tabs>
      <w:spacing w:before="120"/>
      <w:jc w:val="right"/>
      <w:rPr>
        <w:rFonts w:ascii="Gill Sans MT" w:eastAsia="Gill Sans" w:hAnsi="Gill Sans MT" w:cs="Gill Sans"/>
        <w:b/>
        <w:bCs/>
        <w:color w:val="004B87"/>
      </w:rPr>
    </w:pPr>
    <w:r w:rsidRPr="007D6FBB">
      <w:rPr>
        <w:rFonts w:ascii="Gill Sans MT" w:hAnsi="Gill Sans MT"/>
        <w:b/>
        <w:bCs/>
        <w:noProof/>
        <w:color w:val="003B5C"/>
        <w:spacing w:val="40"/>
        <w:sz w:val="28"/>
        <w:szCs w:val="28"/>
      </w:rPr>
      <mc:AlternateContent>
        <mc:Choice Requires="wps">
          <w:drawing>
            <wp:anchor distT="0" distB="0" distL="114300" distR="114300" simplePos="0" relativeHeight="251663360" behindDoc="0" locked="0" layoutInCell="1" allowOverlap="1" wp14:anchorId="620ED7E1" wp14:editId="6E7CC706">
              <wp:simplePos x="0" y="0"/>
              <wp:positionH relativeFrom="margin">
                <wp:align>right</wp:align>
              </wp:positionH>
              <wp:positionV relativeFrom="paragraph">
                <wp:posOffset>29845</wp:posOffset>
              </wp:positionV>
              <wp:extent cx="287083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870835" cy="0"/>
                      </a:xfrm>
                      <a:prstGeom prst="line">
                        <a:avLst/>
                      </a:prstGeom>
                      <a:ln w="12700">
                        <a:solidFill>
                          <a:srgbClr val="FFC2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3D4079" id="Straight Connector 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74.85pt,2.35pt" to="400.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g13AEAAA4EAAAOAAAAZHJzL2Uyb0RvYy54bWysU9uO0zAUfEfiHyy/01xWsFXUdB+yKi8I&#10;KhY+wHXsxJJvOjZN+vccO212BQgJtC9ObJ+ZMzO2dw+z0eQsIChnW1ptSkqE5a5Xdmjp92+Hd1tK&#10;QmS2Z9pZ0dKLCPRh//bNbvKNqN3odC+AIIkNzeRbOsbom6IIfBSGhY3zwuKmdGBYxCkMRQ9sQnaj&#10;i7osPxSTg96D4yIEXH1cNuk+80spePwiZRCR6JaitphHyOMpjcV+x5oBmB8Vv8pg/6HCMGWx6Ur1&#10;yCIjP0D9RmUUBxecjBvuTOGkVFxkD+imKn9x8zQyL7IXDCf4NabwerT88/kIRPV4dpRYZvCIniIw&#10;NYyRdM5aDNABqVJOkw8Nlnf2CNdZ8EdIpmcJJn3RDplztpc1WzFHwnGx3t6X27v3lPDbXvEM9BDi&#10;R+EMST8t1com26xh508hYjMsvZWkZW3JhILr+7LMZcFp1R+U1mkzwHDqNJAzwyM/HLq66pJ6pHhR&#10;hjNtcTF5Wlzkv3jRYmnwVUhMBXVXS4d0H8VKyzgXNuZUMhNWJ5hECSvwKu1vwGt9gop8V/8FvCJy&#10;Z2fjCjbKOviT7DjfJMul/pbA4jtFcHL9JZ9vjgYvXU7u+kDSrX45z/DnZ7z/CQAA//8DAFBLAwQU&#10;AAYACAAAACEAelV0C9oAAAAEAQAADwAAAGRycy9kb3ducmV2LnhtbEyPwU7DMBBE70j8g7VI3KiT&#10;UtoqxKkiEFyBUpC4ufESR9jryHabpF+P4QLH0Yxm3pSb0Rp2RB86RwLyWQYMqXGqo1bA7vXhag0s&#10;RElKGkcoYMIAm+r8rJSFcgO94HEbW5ZKKBRSgI6xLzgPjUYrw8z1SMn7dN7KmKRvufJySOXW8HmW&#10;LbmVHaUFLXu809h8bQ9WwHp6zk/mbTnU7/5p0o8fJ6yv74W4vBjrW2ARx/gXhh/8hA5VYtq7A6nA&#10;jIB0JApYrIAlc3Ezz4HtfzWvSv4fvvoGAAD//wMAUEsBAi0AFAAGAAgAAAAhALaDOJL+AAAA4QEA&#10;ABMAAAAAAAAAAAAAAAAAAAAAAFtDb250ZW50X1R5cGVzXS54bWxQSwECLQAUAAYACAAAACEAOP0h&#10;/9YAAACUAQAACwAAAAAAAAAAAAAAAAAvAQAAX3JlbHMvLnJlbHNQSwECLQAUAAYACAAAACEASJLY&#10;NdwBAAAOBAAADgAAAAAAAAAAAAAAAAAuAgAAZHJzL2Uyb0RvYy54bWxQSwECLQAUAAYACAAAACEA&#10;elV0C9oAAAAEAQAADwAAAAAAAAAAAAAAAAA2BAAAZHJzL2Rvd25yZXYueG1sUEsFBgAAAAAEAAQA&#10;8wAAAD0FAAAAAA==&#10;" strokecolor="#ffc21c" strokeweight="1pt">
              <v:stroke joinstyle="miter"/>
              <w10:wrap anchorx="margin"/>
            </v:line>
          </w:pict>
        </mc:Fallback>
      </mc:AlternateContent>
    </w:r>
    <w:r w:rsidRPr="007D6FBB">
      <w:rPr>
        <w:rFonts w:ascii="Gill Sans MT" w:eastAsia="Gill Sans" w:hAnsi="Gill Sans MT" w:cs="Gill Sans"/>
        <w:b/>
        <w:bCs/>
        <w:color w:val="004B87"/>
      </w:rPr>
      <w:t>INSTITUTIONAL REVIEW BOARD</w:t>
    </w:r>
  </w:p>
  <w:p w14:paraId="1192FF4E" w14:textId="77777777" w:rsidR="006E702D" w:rsidRDefault="006E702D" w:rsidP="006E702D">
    <w:pPr>
      <w:tabs>
        <w:tab w:val="center" w:pos="4680"/>
        <w:tab w:val="right" w:pos="9360"/>
      </w:tabs>
      <w:jc w:val="right"/>
      <w:rPr>
        <w:rFonts w:ascii="Gill Sans MT" w:eastAsia="Gill Sans" w:hAnsi="Gill Sans MT" w:cs="Gill Sans"/>
        <w:b/>
        <w:bCs/>
        <w:color w:val="004B87"/>
      </w:rPr>
    </w:pPr>
    <w:r w:rsidRPr="007D6FBB">
      <w:rPr>
        <w:rFonts w:ascii="Gill Sans MT" w:eastAsia="Gill Sans" w:hAnsi="Gill Sans MT" w:cs="Gill Sans"/>
        <w:b/>
        <w:bCs/>
        <w:color w:val="004B87"/>
      </w:rPr>
      <w:t>TEACHERS COLLEGE</w:t>
    </w:r>
  </w:p>
  <w:p w14:paraId="370865CF" w14:textId="77777777" w:rsidR="006E702D" w:rsidRDefault="006E7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54F64"/>
    <w:multiLevelType w:val="hybridMultilevel"/>
    <w:tmpl w:val="0458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D512F"/>
    <w:multiLevelType w:val="hybridMultilevel"/>
    <w:tmpl w:val="5F968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E6C68"/>
    <w:multiLevelType w:val="hybridMultilevel"/>
    <w:tmpl w:val="805490BE"/>
    <w:lvl w:ilvl="0" w:tplc="409AAA32">
      <w:start w:val="1"/>
      <w:numFmt w:val="bullet"/>
      <w:lvlText w:val=""/>
      <w:lvlJc w:val="left"/>
      <w:pPr>
        <w:ind w:left="170" w:hanging="170"/>
      </w:pPr>
      <w:rPr>
        <w:rFonts w:ascii="Symbol" w:hAnsi="Symbol" w:hint="default"/>
        <w:color w:val="auto"/>
      </w:rPr>
    </w:lvl>
    <w:lvl w:ilvl="1" w:tplc="AF5497E2" w:tentative="1">
      <w:start w:val="1"/>
      <w:numFmt w:val="bullet"/>
      <w:lvlText w:val="o"/>
      <w:lvlJc w:val="left"/>
      <w:pPr>
        <w:ind w:left="1440" w:hanging="360"/>
      </w:pPr>
      <w:rPr>
        <w:rFonts w:ascii="Courier New" w:hAnsi="Courier New" w:cs="Courier New" w:hint="default"/>
      </w:rPr>
    </w:lvl>
    <w:lvl w:ilvl="2" w:tplc="232A5AEE" w:tentative="1">
      <w:start w:val="1"/>
      <w:numFmt w:val="bullet"/>
      <w:lvlText w:val=""/>
      <w:lvlJc w:val="left"/>
      <w:pPr>
        <w:ind w:left="2160" w:hanging="360"/>
      </w:pPr>
      <w:rPr>
        <w:rFonts w:ascii="Wingdings" w:hAnsi="Wingdings" w:hint="default"/>
      </w:rPr>
    </w:lvl>
    <w:lvl w:ilvl="3" w:tplc="DE867702" w:tentative="1">
      <w:start w:val="1"/>
      <w:numFmt w:val="bullet"/>
      <w:lvlText w:val=""/>
      <w:lvlJc w:val="left"/>
      <w:pPr>
        <w:ind w:left="2880" w:hanging="360"/>
      </w:pPr>
      <w:rPr>
        <w:rFonts w:ascii="Symbol" w:hAnsi="Symbol" w:hint="default"/>
      </w:rPr>
    </w:lvl>
    <w:lvl w:ilvl="4" w:tplc="1D06BA1A" w:tentative="1">
      <w:start w:val="1"/>
      <w:numFmt w:val="bullet"/>
      <w:lvlText w:val="o"/>
      <w:lvlJc w:val="left"/>
      <w:pPr>
        <w:ind w:left="3600" w:hanging="360"/>
      </w:pPr>
      <w:rPr>
        <w:rFonts w:ascii="Courier New" w:hAnsi="Courier New" w:cs="Courier New" w:hint="default"/>
      </w:rPr>
    </w:lvl>
    <w:lvl w:ilvl="5" w:tplc="F1EE0102" w:tentative="1">
      <w:start w:val="1"/>
      <w:numFmt w:val="bullet"/>
      <w:lvlText w:val=""/>
      <w:lvlJc w:val="left"/>
      <w:pPr>
        <w:ind w:left="4320" w:hanging="360"/>
      </w:pPr>
      <w:rPr>
        <w:rFonts w:ascii="Wingdings" w:hAnsi="Wingdings" w:hint="default"/>
      </w:rPr>
    </w:lvl>
    <w:lvl w:ilvl="6" w:tplc="FF32CFE6" w:tentative="1">
      <w:start w:val="1"/>
      <w:numFmt w:val="bullet"/>
      <w:lvlText w:val=""/>
      <w:lvlJc w:val="left"/>
      <w:pPr>
        <w:ind w:left="5040" w:hanging="360"/>
      </w:pPr>
      <w:rPr>
        <w:rFonts w:ascii="Symbol" w:hAnsi="Symbol" w:hint="default"/>
      </w:rPr>
    </w:lvl>
    <w:lvl w:ilvl="7" w:tplc="55DEAC7E" w:tentative="1">
      <w:start w:val="1"/>
      <w:numFmt w:val="bullet"/>
      <w:lvlText w:val="o"/>
      <w:lvlJc w:val="left"/>
      <w:pPr>
        <w:ind w:left="5760" w:hanging="360"/>
      </w:pPr>
      <w:rPr>
        <w:rFonts w:ascii="Courier New" w:hAnsi="Courier New" w:cs="Courier New" w:hint="default"/>
      </w:rPr>
    </w:lvl>
    <w:lvl w:ilvl="8" w:tplc="C8B66850" w:tentative="1">
      <w:start w:val="1"/>
      <w:numFmt w:val="bullet"/>
      <w:lvlText w:val=""/>
      <w:lvlJc w:val="left"/>
      <w:pPr>
        <w:ind w:left="6480" w:hanging="360"/>
      </w:pPr>
      <w:rPr>
        <w:rFonts w:ascii="Wingdings" w:hAnsi="Wingdings" w:hint="default"/>
      </w:rPr>
    </w:lvl>
  </w:abstractNum>
  <w:abstractNum w:abstractNumId="3" w15:restartNumberingAfterBreak="0">
    <w:nsid w:val="2B481847"/>
    <w:multiLevelType w:val="hybridMultilevel"/>
    <w:tmpl w:val="489CE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D3535F"/>
    <w:multiLevelType w:val="hybridMultilevel"/>
    <w:tmpl w:val="7B2E12E2"/>
    <w:lvl w:ilvl="0" w:tplc="7C4CD6C8">
      <w:start w:val="1"/>
      <w:numFmt w:val="bullet"/>
      <w:lvlText w:val=""/>
      <w:lvlJc w:val="left"/>
      <w:pPr>
        <w:ind w:left="720" w:hanging="360"/>
      </w:pPr>
      <w:rPr>
        <w:rFonts w:ascii="Symbol" w:hAnsi="Symbol" w:hint="default"/>
      </w:rPr>
    </w:lvl>
    <w:lvl w:ilvl="1" w:tplc="62165EFA" w:tentative="1">
      <w:start w:val="1"/>
      <w:numFmt w:val="bullet"/>
      <w:lvlText w:val="o"/>
      <w:lvlJc w:val="left"/>
      <w:pPr>
        <w:ind w:left="1440" w:hanging="360"/>
      </w:pPr>
      <w:rPr>
        <w:rFonts w:ascii="Courier New" w:hAnsi="Courier New" w:cs="Courier New" w:hint="default"/>
      </w:rPr>
    </w:lvl>
    <w:lvl w:ilvl="2" w:tplc="28246C0C" w:tentative="1">
      <w:start w:val="1"/>
      <w:numFmt w:val="bullet"/>
      <w:lvlText w:val=""/>
      <w:lvlJc w:val="left"/>
      <w:pPr>
        <w:ind w:left="2160" w:hanging="360"/>
      </w:pPr>
      <w:rPr>
        <w:rFonts w:ascii="Wingdings" w:hAnsi="Wingdings" w:hint="default"/>
      </w:rPr>
    </w:lvl>
    <w:lvl w:ilvl="3" w:tplc="86B420F4" w:tentative="1">
      <w:start w:val="1"/>
      <w:numFmt w:val="bullet"/>
      <w:lvlText w:val=""/>
      <w:lvlJc w:val="left"/>
      <w:pPr>
        <w:ind w:left="2880" w:hanging="360"/>
      </w:pPr>
      <w:rPr>
        <w:rFonts w:ascii="Symbol" w:hAnsi="Symbol" w:hint="default"/>
      </w:rPr>
    </w:lvl>
    <w:lvl w:ilvl="4" w:tplc="9BCA39B8" w:tentative="1">
      <w:start w:val="1"/>
      <w:numFmt w:val="bullet"/>
      <w:lvlText w:val="o"/>
      <w:lvlJc w:val="left"/>
      <w:pPr>
        <w:ind w:left="3600" w:hanging="360"/>
      </w:pPr>
      <w:rPr>
        <w:rFonts w:ascii="Courier New" w:hAnsi="Courier New" w:cs="Courier New" w:hint="default"/>
      </w:rPr>
    </w:lvl>
    <w:lvl w:ilvl="5" w:tplc="8F62388A" w:tentative="1">
      <w:start w:val="1"/>
      <w:numFmt w:val="bullet"/>
      <w:lvlText w:val=""/>
      <w:lvlJc w:val="left"/>
      <w:pPr>
        <w:ind w:left="4320" w:hanging="360"/>
      </w:pPr>
      <w:rPr>
        <w:rFonts w:ascii="Wingdings" w:hAnsi="Wingdings" w:hint="default"/>
      </w:rPr>
    </w:lvl>
    <w:lvl w:ilvl="6" w:tplc="5BB80782" w:tentative="1">
      <w:start w:val="1"/>
      <w:numFmt w:val="bullet"/>
      <w:lvlText w:val=""/>
      <w:lvlJc w:val="left"/>
      <w:pPr>
        <w:ind w:left="5040" w:hanging="360"/>
      </w:pPr>
      <w:rPr>
        <w:rFonts w:ascii="Symbol" w:hAnsi="Symbol" w:hint="default"/>
      </w:rPr>
    </w:lvl>
    <w:lvl w:ilvl="7" w:tplc="81E25F92" w:tentative="1">
      <w:start w:val="1"/>
      <w:numFmt w:val="bullet"/>
      <w:lvlText w:val="o"/>
      <w:lvlJc w:val="left"/>
      <w:pPr>
        <w:ind w:left="5760" w:hanging="360"/>
      </w:pPr>
      <w:rPr>
        <w:rFonts w:ascii="Courier New" w:hAnsi="Courier New" w:cs="Courier New" w:hint="default"/>
      </w:rPr>
    </w:lvl>
    <w:lvl w:ilvl="8" w:tplc="BE1854CA" w:tentative="1">
      <w:start w:val="1"/>
      <w:numFmt w:val="bullet"/>
      <w:lvlText w:val=""/>
      <w:lvlJc w:val="left"/>
      <w:pPr>
        <w:ind w:left="6480" w:hanging="360"/>
      </w:pPr>
      <w:rPr>
        <w:rFonts w:ascii="Wingdings" w:hAnsi="Wingdings" w:hint="default"/>
      </w:rPr>
    </w:lvl>
  </w:abstractNum>
  <w:abstractNum w:abstractNumId="5" w15:restartNumberingAfterBreak="0">
    <w:nsid w:val="422D0A93"/>
    <w:multiLevelType w:val="hybridMultilevel"/>
    <w:tmpl w:val="54DA9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511E6"/>
    <w:multiLevelType w:val="hybridMultilevel"/>
    <w:tmpl w:val="D242CD6A"/>
    <w:lvl w:ilvl="0" w:tplc="65BAF8A4">
      <w:start w:val="1"/>
      <w:numFmt w:val="bullet"/>
      <w:lvlText w:val=""/>
      <w:lvlJc w:val="left"/>
      <w:pPr>
        <w:ind w:left="170" w:hanging="170"/>
      </w:pPr>
      <w:rPr>
        <w:rFonts w:ascii="Symbol" w:hAnsi="Symbol" w:hint="default"/>
        <w:color w:val="auto"/>
      </w:rPr>
    </w:lvl>
    <w:lvl w:ilvl="1" w:tplc="606475E0" w:tentative="1">
      <w:start w:val="1"/>
      <w:numFmt w:val="bullet"/>
      <w:lvlText w:val="o"/>
      <w:lvlJc w:val="left"/>
      <w:pPr>
        <w:ind w:left="1440" w:hanging="360"/>
      </w:pPr>
      <w:rPr>
        <w:rFonts w:ascii="Courier New" w:hAnsi="Courier New" w:cs="Courier New" w:hint="default"/>
      </w:rPr>
    </w:lvl>
    <w:lvl w:ilvl="2" w:tplc="9B940358" w:tentative="1">
      <w:start w:val="1"/>
      <w:numFmt w:val="bullet"/>
      <w:lvlText w:val=""/>
      <w:lvlJc w:val="left"/>
      <w:pPr>
        <w:ind w:left="2160" w:hanging="360"/>
      </w:pPr>
      <w:rPr>
        <w:rFonts w:ascii="Wingdings" w:hAnsi="Wingdings" w:hint="default"/>
      </w:rPr>
    </w:lvl>
    <w:lvl w:ilvl="3" w:tplc="A4980416" w:tentative="1">
      <w:start w:val="1"/>
      <w:numFmt w:val="bullet"/>
      <w:lvlText w:val=""/>
      <w:lvlJc w:val="left"/>
      <w:pPr>
        <w:ind w:left="2880" w:hanging="360"/>
      </w:pPr>
      <w:rPr>
        <w:rFonts w:ascii="Symbol" w:hAnsi="Symbol" w:hint="default"/>
      </w:rPr>
    </w:lvl>
    <w:lvl w:ilvl="4" w:tplc="FD70679E" w:tentative="1">
      <w:start w:val="1"/>
      <w:numFmt w:val="bullet"/>
      <w:lvlText w:val="o"/>
      <w:lvlJc w:val="left"/>
      <w:pPr>
        <w:ind w:left="3600" w:hanging="360"/>
      </w:pPr>
      <w:rPr>
        <w:rFonts w:ascii="Courier New" w:hAnsi="Courier New" w:cs="Courier New" w:hint="default"/>
      </w:rPr>
    </w:lvl>
    <w:lvl w:ilvl="5" w:tplc="78D28AB6" w:tentative="1">
      <w:start w:val="1"/>
      <w:numFmt w:val="bullet"/>
      <w:lvlText w:val=""/>
      <w:lvlJc w:val="left"/>
      <w:pPr>
        <w:ind w:left="4320" w:hanging="360"/>
      </w:pPr>
      <w:rPr>
        <w:rFonts w:ascii="Wingdings" w:hAnsi="Wingdings" w:hint="default"/>
      </w:rPr>
    </w:lvl>
    <w:lvl w:ilvl="6" w:tplc="E0221BDA" w:tentative="1">
      <w:start w:val="1"/>
      <w:numFmt w:val="bullet"/>
      <w:lvlText w:val=""/>
      <w:lvlJc w:val="left"/>
      <w:pPr>
        <w:ind w:left="5040" w:hanging="360"/>
      </w:pPr>
      <w:rPr>
        <w:rFonts w:ascii="Symbol" w:hAnsi="Symbol" w:hint="default"/>
      </w:rPr>
    </w:lvl>
    <w:lvl w:ilvl="7" w:tplc="BE0EA6F4" w:tentative="1">
      <w:start w:val="1"/>
      <w:numFmt w:val="bullet"/>
      <w:lvlText w:val="o"/>
      <w:lvlJc w:val="left"/>
      <w:pPr>
        <w:ind w:left="5760" w:hanging="360"/>
      </w:pPr>
      <w:rPr>
        <w:rFonts w:ascii="Courier New" w:hAnsi="Courier New" w:cs="Courier New" w:hint="default"/>
      </w:rPr>
    </w:lvl>
    <w:lvl w:ilvl="8" w:tplc="78246B8C" w:tentative="1">
      <w:start w:val="1"/>
      <w:numFmt w:val="bullet"/>
      <w:lvlText w:val=""/>
      <w:lvlJc w:val="left"/>
      <w:pPr>
        <w:ind w:left="6480" w:hanging="360"/>
      </w:pPr>
      <w:rPr>
        <w:rFonts w:ascii="Wingdings" w:hAnsi="Wingdings" w:hint="default"/>
      </w:rPr>
    </w:lvl>
  </w:abstractNum>
  <w:abstractNum w:abstractNumId="7" w15:restartNumberingAfterBreak="0">
    <w:nsid w:val="56FD6E64"/>
    <w:multiLevelType w:val="hybridMultilevel"/>
    <w:tmpl w:val="A42487E4"/>
    <w:lvl w:ilvl="0" w:tplc="E8549100">
      <w:start w:val="1"/>
      <w:numFmt w:val="bullet"/>
      <w:lvlText w:val=""/>
      <w:lvlJc w:val="left"/>
      <w:pPr>
        <w:ind w:left="720" w:hanging="360"/>
      </w:pPr>
      <w:rPr>
        <w:rFonts w:ascii="Symbol" w:hAnsi="Symbol" w:hint="default"/>
      </w:rPr>
    </w:lvl>
    <w:lvl w:ilvl="1" w:tplc="2248803E" w:tentative="1">
      <w:start w:val="1"/>
      <w:numFmt w:val="bullet"/>
      <w:lvlText w:val="o"/>
      <w:lvlJc w:val="left"/>
      <w:pPr>
        <w:ind w:left="1440" w:hanging="360"/>
      </w:pPr>
      <w:rPr>
        <w:rFonts w:ascii="Courier New" w:hAnsi="Courier New" w:cs="Courier New" w:hint="default"/>
      </w:rPr>
    </w:lvl>
    <w:lvl w:ilvl="2" w:tplc="3148E86A" w:tentative="1">
      <w:start w:val="1"/>
      <w:numFmt w:val="bullet"/>
      <w:lvlText w:val=""/>
      <w:lvlJc w:val="left"/>
      <w:pPr>
        <w:ind w:left="2160" w:hanging="360"/>
      </w:pPr>
      <w:rPr>
        <w:rFonts w:ascii="Wingdings" w:hAnsi="Wingdings" w:hint="default"/>
      </w:rPr>
    </w:lvl>
    <w:lvl w:ilvl="3" w:tplc="C0BC837E" w:tentative="1">
      <w:start w:val="1"/>
      <w:numFmt w:val="bullet"/>
      <w:lvlText w:val=""/>
      <w:lvlJc w:val="left"/>
      <w:pPr>
        <w:ind w:left="2880" w:hanging="360"/>
      </w:pPr>
      <w:rPr>
        <w:rFonts w:ascii="Symbol" w:hAnsi="Symbol" w:hint="default"/>
      </w:rPr>
    </w:lvl>
    <w:lvl w:ilvl="4" w:tplc="1144CBC6" w:tentative="1">
      <w:start w:val="1"/>
      <w:numFmt w:val="bullet"/>
      <w:lvlText w:val="o"/>
      <w:lvlJc w:val="left"/>
      <w:pPr>
        <w:ind w:left="3600" w:hanging="360"/>
      </w:pPr>
      <w:rPr>
        <w:rFonts w:ascii="Courier New" w:hAnsi="Courier New" w:cs="Courier New" w:hint="default"/>
      </w:rPr>
    </w:lvl>
    <w:lvl w:ilvl="5" w:tplc="2AA41DD8" w:tentative="1">
      <w:start w:val="1"/>
      <w:numFmt w:val="bullet"/>
      <w:lvlText w:val=""/>
      <w:lvlJc w:val="left"/>
      <w:pPr>
        <w:ind w:left="4320" w:hanging="360"/>
      </w:pPr>
      <w:rPr>
        <w:rFonts w:ascii="Wingdings" w:hAnsi="Wingdings" w:hint="default"/>
      </w:rPr>
    </w:lvl>
    <w:lvl w:ilvl="6" w:tplc="6270C8B2" w:tentative="1">
      <w:start w:val="1"/>
      <w:numFmt w:val="bullet"/>
      <w:lvlText w:val=""/>
      <w:lvlJc w:val="left"/>
      <w:pPr>
        <w:ind w:left="5040" w:hanging="360"/>
      </w:pPr>
      <w:rPr>
        <w:rFonts w:ascii="Symbol" w:hAnsi="Symbol" w:hint="default"/>
      </w:rPr>
    </w:lvl>
    <w:lvl w:ilvl="7" w:tplc="D85A8F9C" w:tentative="1">
      <w:start w:val="1"/>
      <w:numFmt w:val="bullet"/>
      <w:lvlText w:val="o"/>
      <w:lvlJc w:val="left"/>
      <w:pPr>
        <w:ind w:left="5760" w:hanging="360"/>
      </w:pPr>
      <w:rPr>
        <w:rFonts w:ascii="Courier New" w:hAnsi="Courier New" w:cs="Courier New" w:hint="default"/>
      </w:rPr>
    </w:lvl>
    <w:lvl w:ilvl="8" w:tplc="F224D38E" w:tentative="1">
      <w:start w:val="1"/>
      <w:numFmt w:val="bullet"/>
      <w:lvlText w:val=""/>
      <w:lvlJc w:val="left"/>
      <w:pPr>
        <w:ind w:left="6480" w:hanging="360"/>
      </w:pPr>
      <w:rPr>
        <w:rFonts w:ascii="Wingdings" w:hAnsi="Wingdings" w:hint="default"/>
      </w:rPr>
    </w:lvl>
  </w:abstractNum>
  <w:abstractNum w:abstractNumId="8" w15:restartNumberingAfterBreak="0">
    <w:nsid w:val="616413FD"/>
    <w:multiLevelType w:val="hybridMultilevel"/>
    <w:tmpl w:val="0676494C"/>
    <w:lvl w:ilvl="0" w:tplc="7BC2523C">
      <w:start w:val="1"/>
      <w:numFmt w:val="bullet"/>
      <w:lvlText w:val=""/>
      <w:lvlJc w:val="left"/>
      <w:pPr>
        <w:ind w:left="170" w:hanging="170"/>
      </w:pPr>
      <w:rPr>
        <w:rFonts w:ascii="Symbol" w:hAnsi="Symbol" w:hint="default"/>
        <w:color w:val="auto"/>
      </w:rPr>
    </w:lvl>
    <w:lvl w:ilvl="1" w:tplc="608C7626" w:tentative="1">
      <w:start w:val="1"/>
      <w:numFmt w:val="bullet"/>
      <w:lvlText w:val="o"/>
      <w:lvlJc w:val="left"/>
      <w:pPr>
        <w:ind w:left="1440" w:hanging="360"/>
      </w:pPr>
      <w:rPr>
        <w:rFonts w:ascii="Courier New" w:hAnsi="Courier New" w:cs="Courier New" w:hint="default"/>
      </w:rPr>
    </w:lvl>
    <w:lvl w:ilvl="2" w:tplc="FB1E5332" w:tentative="1">
      <w:start w:val="1"/>
      <w:numFmt w:val="bullet"/>
      <w:lvlText w:val=""/>
      <w:lvlJc w:val="left"/>
      <w:pPr>
        <w:ind w:left="2160" w:hanging="360"/>
      </w:pPr>
      <w:rPr>
        <w:rFonts w:ascii="Wingdings" w:hAnsi="Wingdings" w:hint="default"/>
      </w:rPr>
    </w:lvl>
    <w:lvl w:ilvl="3" w:tplc="09DC8DBE" w:tentative="1">
      <w:start w:val="1"/>
      <w:numFmt w:val="bullet"/>
      <w:lvlText w:val=""/>
      <w:lvlJc w:val="left"/>
      <w:pPr>
        <w:ind w:left="2880" w:hanging="360"/>
      </w:pPr>
      <w:rPr>
        <w:rFonts w:ascii="Symbol" w:hAnsi="Symbol" w:hint="default"/>
      </w:rPr>
    </w:lvl>
    <w:lvl w:ilvl="4" w:tplc="42529146" w:tentative="1">
      <w:start w:val="1"/>
      <w:numFmt w:val="bullet"/>
      <w:lvlText w:val="o"/>
      <w:lvlJc w:val="left"/>
      <w:pPr>
        <w:ind w:left="3600" w:hanging="360"/>
      </w:pPr>
      <w:rPr>
        <w:rFonts w:ascii="Courier New" w:hAnsi="Courier New" w:cs="Courier New" w:hint="default"/>
      </w:rPr>
    </w:lvl>
    <w:lvl w:ilvl="5" w:tplc="BE30B87C" w:tentative="1">
      <w:start w:val="1"/>
      <w:numFmt w:val="bullet"/>
      <w:lvlText w:val=""/>
      <w:lvlJc w:val="left"/>
      <w:pPr>
        <w:ind w:left="4320" w:hanging="360"/>
      </w:pPr>
      <w:rPr>
        <w:rFonts w:ascii="Wingdings" w:hAnsi="Wingdings" w:hint="default"/>
      </w:rPr>
    </w:lvl>
    <w:lvl w:ilvl="6" w:tplc="FED250A4" w:tentative="1">
      <w:start w:val="1"/>
      <w:numFmt w:val="bullet"/>
      <w:lvlText w:val=""/>
      <w:lvlJc w:val="left"/>
      <w:pPr>
        <w:ind w:left="5040" w:hanging="360"/>
      </w:pPr>
      <w:rPr>
        <w:rFonts w:ascii="Symbol" w:hAnsi="Symbol" w:hint="default"/>
      </w:rPr>
    </w:lvl>
    <w:lvl w:ilvl="7" w:tplc="233866FC" w:tentative="1">
      <w:start w:val="1"/>
      <w:numFmt w:val="bullet"/>
      <w:lvlText w:val="o"/>
      <w:lvlJc w:val="left"/>
      <w:pPr>
        <w:ind w:left="5760" w:hanging="360"/>
      </w:pPr>
      <w:rPr>
        <w:rFonts w:ascii="Courier New" w:hAnsi="Courier New" w:cs="Courier New" w:hint="default"/>
      </w:rPr>
    </w:lvl>
    <w:lvl w:ilvl="8" w:tplc="6E02E1A0" w:tentative="1">
      <w:start w:val="1"/>
      <w:numFmt w:val="bullet"/>
      <w:lvlText w:val=""/>
      <w:lvlJc w:val="left"/>
      <w:pPr>
        <w:ind w:left="6480" w:hanging="360"/>
      </w:pPr>
      <w:rPr>
        <w:rFonts w:ascii="Wingdings" w:hAnsi="Wingdings" w:hint="default"/>
      </w:rPr>
    </w:lvl>
  </w:abstractNum>
  <w:abstractNum w:abstractNumId="9" w15:restartNumberingAfterBreak="0">
    <w:nsid w:val="63840D68"/>
    <w:multiLevelType w:val="hybridMultilevel"/>
    <w:tmpl w:val="1F043D96"/>
    <w:lvl w:ilvl="0" w:tplc="3AAAF7CC">
      <w:start w:val="1"/>
      <w:numFmt w:val="bullet"/>
      <w:lvlText w:val=""/>
      <w:lvlJc w:val="left"/>
      <w:pPr>
        <w:ind w:left="237" w:hanging="170"/>
      </w:pPr>
      <w:rPr>
        <w:rFonts w:ascii="Symbol" w:hAnsi="Symbol" w:hint="default"/>
        <w:color w:val="auto"/>
      </w:rPr>
    </w:lvl>
    <w:lvl w:ilvl="1" w:tplc="CF489D1C" w:tentative="1">
      <w:start w:val="1"/>
      <w:numFmt w:val="bullet"/>
      <w:lvlText w:val="o"/>
      <w:lvlJc w:val="left"/>
      <w:pPr>
        <w:ind w:left="1507" w:hanging="360"/>
      </w:pPr>
      <w:rPr>
        <w:rFonts w:ascii="Courier New" w:hAnsi="Courier New" w:cs="Courier New" w:hint="default"/>
      </w:rPr>
    </w:lvl>
    <w:lvl w:ilvl="2" w:tplc="EB4207A0" w:tentative="1">
      <w:start w:val="1"/>
      <w:numFmt w:val="bullet"/>
      <w:lvlText w:val=""/>
      <w:lvlJc w:val="left"/>
      <w:pPr>
        <w:ind w:left="2227" w:hanging="360"/>
      </w:pPr>
      <w:rPr>
        <w:rFonts w:ascii="Wingdings" w:hAnsi="Wingdings" w:hint="default"/>
      </w:rPr>
    </w:lvl>
    <w:lvl w:ilvl="3" w:tplc="FBAE0A46" w:tentative="1">
      <w:start w:val="1"/>
      <w:numFmt w:val="bullet"/>
      <w:lvlText w:val=""/>
      <w:lvlJc w:val="left"/>
      <w:pPr>
        <w:ind w:left="2947" w:hanging="360"/>
      </w:pPr>
      <w:rPr>
        <w:rFonts w:ascii="Symbol" w:hAnsi="Symbol" w:hint="default"/>
      </w:rPr>
    </w:lvl>
    <w:lvl w:ilvl="4" w:tplc="84F07994" w:tentative="1">
      <w:start w:val="1"/>
      <w:numFmt w:val="bullet"/>
      <w:lvlText w:val="o"/>
      <w:lvlJc w:val="left"/>
      <w:pPr>
        <w:ind w:left="3667" w:hanging="360"/>
      </w:pPr>
      <w:rPr>
        <w:rFonts w:ascii="Courier New" w:hAnsi="Courier New" w:cs="Courier New" w:hint="default"/>
      </w:rPr>
    </w:lvl>
    <w:lvl w:ilvl="5" w:tplc="954033E2" w:tentative="1">
      <w:start w:val="1"/>
      <w:numFmt w:val="bullet"/>
      <w:lvlText w:val=""/>
      <w:lvlJc w:val="left"/>
      <w:pPr>
        <w:ind w:left="4387" w:hanging="360"/>
      </w:pPr>
      <w:rPr>
        <w:rFonts w:ascii="Wingdings" w:hAnsi="Wingdings" w:hint="default"/>
      </w:rPr>
    </w:lvl>
    <w:lvl w:ilvl="6" w:tplc="EE1E8BFC" w:tentative="1">
      <w:start w:val="1"/>
      <w:numFmt w:val="bullet"/>
      <w:lvlText w:val=""/>
      <w:lvlJc w:val="left"/>
      <w:pPr>
        <w:ind w:left="5107" w:hanging="360"/>
      </w:pPr>
      <w:rPr>
        <w:rFonts w:ascii="Symbol" w:hAnsi="Symbol" w:hint="default"/>
      </w:rPr>
    </w:lvl>
    <w:lvl w:ilvl="7" w:tplc="E75416F4" w:tentative="1">
      <w:start w:val="1"/>
      <w:numFmt w:val="bullet"/>
      <w:lvlText w:val="o"/>
      <w:lvlJc w:val="left"/>
      <w:pPr>
        <w:ind w:left="5827" w:hanging="360"/>
      </w:pPr>
      <w:rPr>
        <w:rFonts w:ascii="Courier New" w:hAnsi="Courier New" w:cs="Courier New" w:hint="default"/>
      </w:rPr>
    </w:lvl>
    <w:lvl w:ilvl="8" w:tplc="018C91C6" w:tentative="1">
      <w:start w:val="1"/>
      <w:numFmt w:val="bullet"/>
      <w:lvlText w:val=""/>
      <w:lvlJc w:val="left"/>
      <w:pPr>
        <w:ind w:left="6547" w:hanging="360"/>
      </w:pPr>
      <w:rPr>
        <w:rFonts w:ascii="Wingdings" w:hAnsi="Wingdings" w:hint="default"/>
      </w:rPr>
    </w:lvl>
  </w:abstractNum>
  <w:abstractNum w:abstractNumId="10" w15:restartNumberingAfterBreak="0">
    <w:nsid w:val="7AD22646"/>
    <w:multiLevelType w:val="hybridMultilevel"/>
    <w:tmpl w:val="22D0DF14"/>
    <w:lvl w:ilvl="0" w:tplc="708408CE">
      <w:start w:val="1"/>
      <w:numFmt w:val="bullet"/>
      <w:lvlText w:val=""/>
      <w:lvlJc w:val="left"/>
      <w:pPr>
        <w:ind w:left="170" w:hanging="170"/>
      </w:pPr>
      <w:rPr>
        <w:rFonts w:ascii="Symbol" w:hAnsi="Symbol" w:hint="default"/>
        <w:color w:val="auto"/>
      </w:rPr>
    </w:lvl>
    <w:lvl w:ilvl="1" w:tplc="0624F8AC" w:tentative="1">
      <w:start w:val="1"/>
      <w:numFmt w:val="bullet"/>
      <w:lvlText w:val="o"/>
      <w:lvlJc w:val="left"/>
      <w:pPr>
        <w:ind w:left="1440" w:hanging="360"/>
      </w:pPr>
      <w:rPr>
        <w:rFonts w:ascii="Courier New" w:hAnsi="Courier New" w:cs="Courier New" w:hint="default"/>
      </w:rPr>
    </w:lvl>
    <w:lvl w:ilvl="2" w:tplc="A05A3416" w:tentative="1">
      <w:start w:val="1"/>
      <w:numFmt w:val="bullet"/>
      <w:lvlText w:val=""/>
      <w:lvlJc w:val="left"/>
      <w:pPr>
        <w:ind w:left="2160" w:hanging="360"/>
      </w:pPr>
      <w:rPr>
        <w:rFonts w:ascii="Wingdings" w:hAnsi="Wingdings" w:hint="default"/>
      </w:rPr>
    </w:lvl>
    <w:lvl w:ilvl="3" w:tplc="9C667D5C" w:tentative="1">
      <w:start w:val="1"/>
      <w:numFmt w:val="bullet"/>
      <w:lvlText w:val=""/>
      <w:lvlJc w:val="left"/>
      <w:pPr>
        <w:ind w:left="2880" w:hanging="360"/>
      </w:pPr>
      <w:rPr>
        <w:rFonts w:ascii="Symbol" w:hAnsi="Symbol" w:hint="default"/>
      </w:rPr>
    </w:lvl>
    <w:lvl w:ilvl="4" w:tplc="8E829A9C" w:tentative="1">
      <w:start w:val="1"/>
      <w:numFmt w:val="bullet"/>
      <w:lvlText w:val="o"/>
      <w:lvlJc w:val="left"/>
      <w:pPr>
        <w:ind w:left="3600" w:hanging="360"/>
      </w:pPr>
      <w:rPr>
        <w:rFonts w:ascii="Courier New" w:hAnsi="Courier New" w:cs="Courier New" w:hint="default"/>
      </w:rPr>
    </w:lvl>
    <w:lvl w:ilvl="5" w:tplc="C812E366" w:tentative="1">
      <w:start w:val="1"/>
      <w:numFmt w:val="bullet"/>
      <w:lvlText w:val=""/>
      <w:lvlJc w:val="left"/>
      <w:pPr>
        <w:ind w:left="4320" w:hanging="360"/>
      </w:pPr>
      <w:rPr>
        <w:rFonts w:ascii="Wingdings" w:hAnsi="Wingdings" w:hint="default"/>
      </w:rPr>
    </w:lvl>
    <w:lvl w:ilvl="6" w:tplc="5EA66620" w:tentative="1">
      <w:start w:val="1"/>
      <w:numFmt w:val="bullet"/>
      <w:lvlText w:val=""/>
      <w:lvlJc w:val="left"/>
      <w:pPr>
        <w:ind w:left="5040" w:hanging="360"/>
      </w:pPr>
      <w:rPr>
        <w:rFonts w:ascii="Symbol" w:hAnsi="Symbol" w:hint="default"/>
      </w:rPr>
    </w:lvl>
    <w:lvl w:ilvl="7" w:tplc="51DA8C74" w:tentative="1">
      <w:start w:val="1"/>
      <w:numFmt w:val="bullet"/>
      <w:lvlText w:val="o"/>
      <w:lvlJc w:val="left"/>
      <w:pPr>
        <w:ind w:left="5760" w:hanging="360"/>
      </w:pPr>
      <w:rPr>
        <w:rFonts w:ascii="Courier New" w:hAnsi="Courier New" w:cs="Courier New" w:hint="default"/>
      </w:rPr>
    </w:lvl>
    <w:lvl w:ilvl="8" w:tplc="E87A24BA" w:tentative="1">
      <w:start w:val="1"/>
      <w:numFmt w:val="bullet"/>
      <w:lvlText w:val=""/>
      <w:lvlJc w:val="left"/>
      <w:pPr>
        <w:ind w:left="6480" w:hanging="360"/>
      </w:pPr>
      <w:rPr>
        <w:rFonts w:ascii="Wingdings" w:hAnsi="Wingdings" w:hint="default"/>
      </w:rPr>
    </w:lvl>
  </w:abstractNum>
  <w:abstractNum w:abstractNumId="11" w15:restartNumberingAfterBreak="0">
    <w:nsid w:val="7D393FF9"/>
    <w:multiLevelType w:val="hybridMultilevel"/>
    <w:tmpl w:val="08A02B92"/>
    <w:lvl w:ilvl="0" w:tplc="CE5C3A7A">
      <w:start w:val="1"/>
      <w:numFmt w:val="bullet"/>
      <w:lvlText w:val=""/>
      <w:lvlJc w:val="left"/>
      <w:pPr>
        <w:ind w:left="170" w:hanging="170"/>
      </w:pPr>
      <w:rPr>
        <w:rFonts w:ascii="Symbol" w:hAnsi="Symbol" w:hint="default"/>
        <w:color w:val="auto"/>
      </w:rPr>
    </w:lvl>
    <w:lvl w:ilvl="1" w:tplc="C8444BCC" w:tentative="1">
      <w:start w:val="1"/>
      <w:numFmt w:val="bullet"/>
      <w:lvlText w:val="o"/>
      <w:lvlJc w:val="left"/>
      <w:pPr>
        <w:ind w:left="1440" w:hanging="360"/>
      </w:pPr>
      <w:rPr>
        <w:rFonts w:ascii="Courier New" w:hAnsi="Courier New" w:cs="Courier New" w:hint="default"/>
      </w:rPr>
    </w:lvl>
    <w:lvl w:ilvl="2" w:tplc="635C5228" w:tentative="1">
      <w:start w:val="1"/>
      <w:numFmt w:val="bullet"/>
      <w:lvlText w:val=""/>
      <w:lvlJc w:val="left"/>
      <w:pPr>
        <w:ind w:left="2160" w:hanging="360"/>
      </w:pPr>
      <w:rPr>
        <w:rFonts w:ascii="Wingdings" w:hAnsi="Wingdings" w:hint="default"/>
      </w:rPr>
    </w:lvl>
    <w:lvl w:ilvl="3" w:tplc="29BA2FF0" w:tentative="1">
      <w:start w:val="1"/>
      <w:numFmt w:val="bullet"/>
      <w:lvlText w:val=""/>
      <w:lvlJc w:val="left"/>
      <w:pPr>
        <w:ind w:left="2880" w:hanging="360"/>
      </w:pPr>
      <w:rPr>
        <w:rFonts w:ascii="Symbol" w:hAnsi="Symbol" w:hint="default"/>
      </w:rPr>
    </w:lvl>
    <w:lvl w:ilvl="4" w:tplc="75F226B8" w:tentative="1">
      <w:start w:val="1"/>
      <w:numFmt w:val="bullet"/>
      <w:lvlText w:val="o"/>
      <w:lvlJc w:val="left"/>
      <w:pPr>
        <w:ind w:left="3600" w:hanging="360"/>
      </w:pPr>
      <w:rPr>
        <w:rFonts w:ascii="Courier New" w:hAnsi="Courier New" w:cs="Courier New" w:hint="default"/>
      </w:rPr>
    </w:lvl>
    <w:lvl w:ilvl="5" w:tplc="ECC6FB2E" w:tentative="1">
      <w:start w:val="1"/>
      <w:numFmt w:val="bullet"/>
      <w:lvlText w:val=""/>
      <w:lvlJc w:val="left"/>
      <w:pPr>
        <w:ind w:left="4320" w:hanging="360"/>
      </w:pPr>
      <w:rPr>
        <w:rFonts w:ascii="Wingdings" w:hAnsi="Wingdings" w:hint="default"/>
      </w:rPr>
    </w:lvl>
    <w:lvl w:ilvl="6" w:tplc="9ECC8722" w:tentative="1">
      <w:start w:val="1"/>
      <w:numFmt w:val="bullet"/>
      <w:lvlText w:val=""/>
      <w:lvlJc w:val="left"/>
      <w:pPr>
        <w:ind w:left="5040" w:hanging="360"/>
      </w:pPr>
      <w:rPr>
        <w:rFonts w:ascii="Symbol" w:hAnsi="Symbol" w:hint="default"/>
      </w:rPr>
    </w:lvl>
    <w:lvl w:ilvl="7" w:tplc="B83EDB2C" w:tentative="1">
      <w:start w:val="1"/>
      <w:numFmt w:val="bullet"/>
      <w:lvlText w:val="o"/>
      <w:lvlJc w:val="left"/>
      <w:pPr>
        <w:ind w:left="5760" w:hanging="360"/>
      </w:pPr>
      <w:rPr>
        <w:rFonts w:ascii="Courier New" w:hAnsi="Courier New" w:cs="Courier New" w:hint="default"/>
      </w:rPr>
    </w:lvl>
    <w:lvl w:ilvl="8" w:tplc="C0CE33E6"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8"/>
  </w:num>
  <w:num w:numId="5">
    <w:abstractNumId w:val="9"/>
  </w:num>
  <w:num w:numId="6">
    <w:abstractNumId w:val="10"/>
  </w:num>
  <w:num w:numId="7">
    <w:abstractNumId w:val="6"/>
  </w:num>
  <w:num w:numId="8">
    <w:abstractNumId w:val="11"/>
  </w:num>
  <w:num w:numId="9">
    <w:abstractNumId w:val="3"/>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20"/>
  <w:drawingGridHorizontalSpacing w:val="120"/>
  <w:drawingGridVerticalSpacing w:val="2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EA6"/>
    <w:rsid w:val="000049D7"/>
    <w:rsid w:val="000341E1"/>
    <w:rsid w:val="0003741D"/>
    <w:rsid w:val="00044FD4"/>
    <w:rsid w:val="00065418"/>
    <w:rsid w:val="00083A82"/>
    <w:rsid w:val="00096C17"/>
    <w:rsid w:val="000A40EF"/>
    <w:rsid w:val="000B66DE"/>
    <w:rsid w:val="000C128B"/>
    <w:rsid w:val="000E6BB4"/>
    <w:rsid w:val="000E6C6C"/>
    <w:rsid w:val="000F2434"/>
    <w:rsid w:val="000F4971"/>
    <w:rsid w:val="000F4A87"/>
    <w:rsid w:val="00105297"/>
    <w:rsid w:val="0018001D"/>
    <w:rsid w:val="001844B1"/>
    <w:rsid w:val="00196134"/>
    <w:rsid w:val="001C06DB"/>
    <w:rsid w:val="001C6316"/>
    <w:rsid w:val="001E7ECD"/>
    <w:rsid w:val="001F1629"/>
    <w:rsid w:val="00202B43"/>
    <w:rsid w:val="002043E9"/>
    <w:rsid w:val="00215A94"/>
    <w:rsid w:val="00220142"/>
    <w:rsid w:val="002253BC"/>
    <w:rsid w:val="002342BE"/>
    <w:rsid w:val="002555D3"/>
    <w:rsid w:val="00267138"/>
    <w:rsid w:val="00275245"/>
    <w:rsid w:val="002A5136"/>
    <w:rsid w:val="002C1E98"/>
    <w:rsid w:val="002E1BD5"/>
    <w:rsid w:val="002E332F"/>
    <w:rsid w:val="0033716F"/>
    <w:rsid w:val="00341308"/>
    <w:rsid w:val="00344DF9"/>
    <w:rsid w:val="00347287"/>
    <w:rsid w:val="00353D51"/>
    <w:rsid w:val="00354BDD"/>
    <w:rsid w:val="00367129"/>
    <w:rsid w:val="00385B54"/>
    <w:rsid w:val="00394870"/>
    <w:rsid w:val="003B1CC9"/>
    <w:rsid w:val="003B1CE7"/>
    <w:rsid w:val="003B69B8"/>
    <w:rsid w:val="003C26CF"/>
    <w:rsid w:val="003F11B6"/>
    <w:rsid w:val="003F3547"/>
    <w:rsid w:val="00406554"/>
    <w:rsid w:val="004275DC"/>
    <w:rsid w:val="00427C9E"/>
    <w:rsid w:val="004615E2"/>
    <w:rsid w:val="004B5FA9"/>
    <w:rsid w:val="004E6DC5"/>
    <w:rsid w:val="004F5114"/>
    <w:rsid w:val="005021CB"/>
    <w:rsid w:val="00557813"/>
    <w:rsid w:val="00571054"/>
    <w:rsid w:val="00583E05"/>
    <w:rsid w:val="00592460"/>
    <w:rsid w:val="00597869"/>
    <w:rsid w:val="005A2FED"/>
    <w:rsid w:val="005C1C78"/>
    <w:rsid w:val="005C1F15"/>
    <w:rsid w:val="005C2A5D"/>
    <w:rsid w:val="005C43B4"/>
    <w:rsid w:val="005D79B5"/>
    <w:rsid w:val="005D7C7D"/>
    <w:rsid w:val="00624890"/>
    <w:rsid w:val="00631255"/>
    <w:rsid w:val="006377D3"/>
    <w:rsid w:val="00687499"/>
    <w:rsid w:val="0069066B"/>
    <w:rsid w:val="006C56CC"/>
    <w:rsid w:val="006E702D"/>
    <w:rsid w:val="00702BBD"/>
    <w:rsid w:val="00715027"/>
    <w:rsid w:val="007311D2"/>
    <w:rsid w:val="00743FE2"/>
    <w:rsid w:val="00745009"/>
    <w:rsid w:val="007510C5"/>
    <w:rsid w:val="0075440C"/>
    <w:rsid w:val="00783BCB"/>
    <w:rsid w:val="00790745"/>
    <w:rsid w:val="007B7763"/>
    <w:rsid w:val="007C79EF"/>
    <w:rsid w:val="007E405E"/>
    <w:rsid w:val="007F61C0"/>
    <w:rsid w:val="00805026"/>
    <w:rsid w:val="00810B4B"/>
    <w:rsid w:val="0081461F"/>
    <w:rsid w:val="00844AB9"/>
    <w:rsid w:val="00886D15"/>
    <w:rsid w:val="00892F15"/>
    <w:rsid w:val="008A69A9"/>
    <w:rsid w:val="008B1E1B"/>
    <w:rsid w:val="009231B9"/>
    <w:rsid w:val="0094540F"/>
    <w:rsid w:val="00946240"/>
    <w:rsid w:val="009521E3"/>
    <w:rsid w:val="00967CE0"/>
    <w:rsid w:val="00983749"/>
    <w:rsid w:val="009931B2"/>
    <w:rsid w:val="009C1FB5"/>
    <w:rsid w:val="009C3515"/>
    <w:rsid w:val="009C4EFF"/>
    <w:rsid w:val="009D0DDE"/>
    <w:rsid w:val="009F487E"/>
    <w:rsid w:val="00A154C4"/>
    <w:rsid w:val="00A2575B"/>
    <w:rsid w:val="00A54233"/>
    <w:rsid w:val="00A73828"/>
    <w:rsid w:val="00A73C61"/>
    <w:rsid w:val="00A75DA0"/>
    <w:rsid w:val="00A9328D"/>
    <w:rsid w:val="00A96E38"/>
    <w:rsid w:val="00A97281"/>
    <w:rsid w:val="00AA4542"/>
    <w:rsid w:val="00AA490C"/>
    <w:rsid w:val="00AC40F7"/>
    <w:rsid w:val="00AE78BA"/>
    <w:rsid w:val="00B03FC2"/>
    <w:rsid w:val="00B10616"/>
    <w:rsid w:val="00B159CB"/>
    <w:rsid w:val="00B20E35"/>
    <w:rsid w:val="00B502C1"/>
    <w:rsid w:val="00B710D1"/>
    <w:rsid w:val="00B75695"/>
    <w:rsid w:val="00B8290F"/>
    <w:rsid w:val="00B92EB1"/>
    <w:rsid w:val="00BB280E"/>
    <w:rsid w:val="00BB4437"/>
    <w:rsid w:val="00BB5989"/>
    <w:rsid w:val="00BB72C8"/>
    <w:rsid w:val="00BC118F"/>
    <w:rsid w:val="00BC32FA"/>
    <w:rsid w:val="00BD1DAD"/>
    <w:rsid w:val="00BE3F04"/>
    <w:rsid w:val="00BF01D6"/>
    <w:rsid w:val="00C02D21"/>
    <w:rsid w:val="00C17BD2"/>
    <w:rsid w:val="00C2327C"/>
    <w:rsid w:val="00C45F15"/>
    <w:rsid w:val="00C73E07"/>
    <w:rsid w:val="00C77A60"/>
    <w:rsid w:val="00C77DFC"/>
    <w:rsid w:val="00C87EDB"/>
    <w:rsid w:val="00CA51C0"/>
    <w:rsid w:val="00CC4B6E"/>
    <w:rsid w:val="00CD2125"/>
    <w:rsid w:val="00CF162A"/>
    <w:rsid w:val="00D02619"/>
    <w:rsid w:val="00D0515B"/>
    <w:rsid w:val="00D20DB0"/>
    <w:rsid w:val="00D6385A"/>
    <w:rsid w:val="00D85FA0"/>
    <w:rsid w:val="00D932EF"/>
    <w:rsid w:val="00DA0DEA"/>
    <w:rsid w:val="00DA21D2"/>
    <w:rsid w:val="00E006F3"/>
    <w:rsid w:val="00E3764A"/>
    <w:rsid w:val="00E54073"/>
    <w:rsid w:val="00E65AEB"/>
    <w:rsid w:val="00E719DD"/>
    <w:rsid w:val="00E82A42"/>
    <w:rsid w:val="00E91091"/>
    <w:rsid w:val="00E93F96"/>
    <w:rsid w:val="00E97F23"/>
    <w:rsid w:val="00EA4C4D"/>
    <w:rsid w:val="00EB18F7"/>
    <w:rsid w:val="00EE2FC8"/>
    <w:rsid w:val="00F047CC"/>
    <w:rsid w:val="00F05B97"/>
    <w:rsid w:val="00F10D69"/>
    <w:rsid w:val="00F23BD5"/>
    <w:rsid w:val="00F2431D"/>
    <w:rsid w:val="00F324D7"/>
    <w:rsid w:val="00F55E83"/>
    <w:rsid w:val="00F632BE"/>
    <w:rsid w:val="00F64991"/>
    <w:rsid w:val="00F75505"/>
    <w:rsid w:val="00F91B3F"/>
    <w:rsid w:val="00F96124"/>
    <w:rsid w:val="00F96B6D"/>
    <w:rsid w:val="00FB4FBF"/>
    <w:rsid w:val="00FC6EA6"/>
    <w:rsid w:val="00FF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F4C9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4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989"/>
    <w:pPr>
      <w:ind w:left="720"/>
      <w:contextualSpacing/>
    </w:pPr>
  </w:style>
  <w:style w:type="character" w:styleId="Hyperlink">
    <w:name w:val="Hyperlink"/>
    <w:basedOn w:val="DefaultParagraphFont"/>
    <w:uiPriority w:val="99"/>
    <w:unhideWhenUsed/>
    <w:rsid w:val="00AC40F7"/>
    <w:rPr>
      <w:color w:val="0563C1" w:themeColor="hyperlink"/>
      <w:u w:val="single"/>
    </w:rPr>
  </w:style>
  <w:style w:type="character" w:styleId="FollowedHyperlink">
    <w:name w:val="FollowedHyperlink"/>
    <w:basedOn w:val="DefaultParagraphFont"/>
    <w:uiPriority w:val="99"/>
    <w:semiHidden/>
    <w:unhideWhenUsed/>
    <w:rsid w:val="00AC40F7"/>
    <w:rPr>
      <w:color w:val="954F72" w:themeColor="followedHyperlink"/>
      <w:u w:val="single"/>
    </w:rPr>
  </w:style>
  <w:style w:type="paragraph" w:styleId="Header">
    <w:name w:val="header"/>
    <w:basedOn w:val="Normal"/>
    <w:link w:val="HeaderChar"/>
    <w:uiPriority w:val="99"/>
    <w:unhideWhenUsed/>
    <w:rsid w:val="00E006F3"/>
    <w:pPr>
      <w:tabs>
        <w:tab w:val="center" w:pos="4680"/>
        <w:tab w:val="right" w:pos="9360"/>
      </w:tabs>
    </w:pPr>
  </w:style>
  <w:style w:type="character" w:customStyle="1" w:styleId="HeaderChar">
    <w:name w:val="Header Char"/>
    <w:basedOn w:val="DefaultParagraphFont"/>
    <w:link w:val="Header"/>
    <w:uiPriority w:val="99"/>
    <w:rsid w:val="00E006F3"/>
  </w:style>
  <w:style w:type="paragraph" w:styleId="Footer">
    <w:name w:val="footer"/>
    <w:basedOn w:val="Normal"/>
    <w:link w:val="FooterChar"/>
    <w:uiPriority w:val="99"/>
    <w:unhideWhenUsed/>
    <w:rsid w:val="00E006F3"/>
    <w:pPr>
      <w:tabs>
        <w:tab w:val="center" w:pos="4680"/>
        <w:tab w:val="right" w:pos="9360"/>
      </w:tabs>
    </w:pPr>
  </w:style>
  <w:style w:type="character" w:customStyle="1" w:styleId="FooterChar">
    <w:name w:val="Footer Char"/>
    <w:basedOn w:val="DefaultParagraphFont"/>
    <w:link w:val="Footer"/>
    <w:uiPriority w:val="99"/>
    <w:rsid w:val="00E006F3"/>
  </w:style>
  <w:style w:type="character" w:styleId="UnresolvedMention">
    <w:name w:val="Unresolved Mention"/>
    <w:basedOn w:val="DefaultParagraphFont"/>
    <w:uiPriority w:val="99"/>
    <w:rsid w:val="002E332F"/>
    <w:rPr>
      <w:color w:val="605E5C"/>
      <w:shd w:val="clear" w:color="auto" w:fill="E1DFDD"/>
    </w:rPr>
  </w:style>
  <w:style w:type="paragraph" w:styleId="BalloonText">
    <w:name w:val="Balloon Text"/>
    <w:basedOn w:val="Normal"/>
    <w:link w:val="BalloonTextChar"/>
    <w:uiPriority w:val="99"/>
    <w:semiHidden/>
    <w:unhideWhenUsed/>
    <w:rsid w:val="006377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7D3"/>
    <w:rPr>
      <w:rFonts w:ascii="Segoe UI" w:hAnsi="Segoe UI" w:cs="Segoe UI"/>
      <w:sz w:val="18"/>
      <w:szCs w:val="18"/>
    </w:rPr>
  </w:style>
  <w:style w:type="character" w:styleId="CommentReference">
    <w:name w:val="annotation reference"/>
    <w:basedOn w:val="DefaultParagraphFont"/>
    <w:uiPriority w:val="99"/>
    <w:semiHidden/>
    <w:unhideWhenUsed/>
    <w:rsid w:val="00AE78BA"/>
    <w:rPr>
      <w:sz w:val="16"/>
      <w:szCs w:val="16"/>
    </w:rPr>
  </w:style>
  <w:style w:type="paragraph" w:styleId="CommentText">
    <w:name w:val="annotation text"/>
    <w:basedOn w:val="Normal"/>
    <w:link w:val="CommentTextChar"/>
    <w:uiPriority w:val="99"/>
    <w:semiHidden/>
    <w:unhideWhenUsed/>
    <w:rsid w:val="00AE78BA"/>
    <w:rPr>
      <w:sz w:val="20"/>
      <w:szCs w:val="20"/>
    </w:rPr>
  </w:style>
  <w:style w:type="character" w:customStyle="1" w:styleId="CommentTextChar">
    <w:name w:val="Comment Text Char"/>
    <w:basedOn w:val="DefaultParagraphFont"/>
    <w:link w:val="CommentText"/>
    <w:uiPriority w:val="99"/>
    <w:semiHidden/>
    <w:rsid w:val="00AE78BA"/>
    <w:rPr>
      <w:sz w:val="20"/>
      <w:szCs w:val="20"/>
    </w:rPr>
  </w:style>
  <w:style w:type="paragraph" w:styleId="CommentSubject">
    <w:name w:val="annotation subject"/>
    <w:basedOn w:val="CommentText"/>
    <w:next w:val="CommentText"/>
    <w:link w:val="CommentSubjectChar"/>
    <w:uiPriority w:val="99"/>
    <w:semiHidden/>
    <w:unhideWhenUsed/>
    <w:rsid w:val="00AE78BA"/>
    <w:rPr>
      <w:b/>
      <w:bCs/>
    </w:rPr>
  </w:style>
  <w:style w:type="character" w:customStyle="1" w:styleId="CommentSubjectChar">
    <w:name w:val="Comment Subject Char"/>
    <w:basedOn w:val="CommentTextChar"/>
    <w:link w:val="CommentSubject"/>
    <w:uiPriority w:val="99"/>
    <w:semiHidden/>
    <w:rsid w:val="00AE78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048414">
      <w:bodyDiv w:val="1"/>
      <w:marLeft w:val="0"/>
      <w:marRight w:val="0"/>
      <w:marTop w:val="0"/>
      <w:marBottom w:val="0"/>
      <w:divBdr>
        <w:top w:val="none" w:sz="0" w:space="0" w:color="auto"/>
        <w:left w:val="none" w:sz="0" w:space="0" w:color="auto"/>
        <w:bottom w:val="none" w:sz="0" w:space="0" w:color="auto"/>
        <w:right w:val="none" w:sz="0" w:space="0" w:color="auto"/>
      </w:divBdr>
    </w:div>
    <w:div w:id="16051134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columbia.edu/preparedness/campus-life-during-covid-19/campus-access-requirements)" TargetMode="External"/><Relationship Id="rId13" Type="http://schemas.openxmlformats.org/officeDocument/2006/relationships/hyperlink" Target="https://www.tc.columbia.edu/preparedness/campus-life-during-covid-19/research-compliance-and-safety/care-for-you-others-and-the-community/" TargetMode="External"/><Relationship Id="rId18" Type="http://schemas.openxmlformats.org/officeDocument/2006/relationships/hyperlink" Target="mailto:IRB@tc.edu"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tc.columbia.edu/preparedness/campus-life-during-covid-19/campus-access-requirements" TargetMode="External"/><Relationship Id="rId12" Type="http://schemas.openxmlformats.org/officeDocument/2006/relationships/hyperlink" Target="https://www.tc.columbia.edu/preparedness/campus-life-during-covid-19/research-compliance-and-safety/risk-assessment/" TargetMode="External"/><Relationship Id="rId17" Type="http://schemas.openxmlformats.org/officeDocument/2006/relationships/hyperlink" Target="mailto:ehs@tc.columbia.edu" TargetMode="External"/><Relationship Id="rId2" Type="http://schemas.openxmlformats.org/officeDocument/2006/relationships/styles" Target="styles.xml"/><Relationship Id="rId16" Type="http://schemas.openxmlformats.org/officeDocument/2006/relationships/hyperlink" Target="https://www.tc.columbia.edu/media/administration/preparedness/Research-Lab-or-Center-Safety-Monitor-Agreement-Final.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c.columbia.edu/preparedness/campus-life-during-covid-1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c.columbia.edu/preparedness/campus-life-during-covid-19/research-compliance-and-safety/policies--procedures/job-safety-assessment--risk-analysis/" TargetMode="External"/><Relationship Id="rId23" Type="http://schemas.openxmlformats.org/officeDocument/2006/relationships/fontTable" Target="fontTable.xml"/><Relationship Id="rId10" Type="http://schemas.openxmlformats.org/officeDocument/2006/relationships/hyperlink" Target="https://www.tc.columbia.edu/preparedness/campus-life-during-covid-19/faculty--staff--campus-access-requirements/covid-19-testing-procedur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dc.gov/coronavirus/2019-ncov/community/schools-childcare/index.html" TargetMode="External"/><Relationship Id="rId14" Type="http://schemas.openxmlformats.org/officeDocument/2006/relationships/hyperlink" Target="https://www.tc.columbia.edu/preparedness/campus-life-during-covid-19/research-compliance-and-safety/training-modules/"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CHANGHUNG</dc:creator>
  <cp:lastModifiedBy>Kodama, Kailee</cp:lastModifiedBy>
  <cp:revision>2</cp:revision>
  <dcterms:created xsi:type="dcterms:W3CDTF">2021-06-03T18:53:00Z</dcterms:created>
  <dcterms:modified xsi:type="dcterms:W3CDTF">2021-06-03T18:53:00Z</dcterms:modified>
</cp:coreProperties>
</file>