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A27C" w14:textId="77777777" w:rsidR="009475FD" w:rsidRDefault="005B6A74">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52339210" wp14:editId="1F775EEF">
                <wp:simplePos x="0" y="0"/>
                <wp:positionH relativeFrom="column">
                  <wp:posOffset>2562225</wp:posOffset>
                </wp:positionH>
                <wp:positionV relativeFrom="paragraph">
                  <wp:posOffset>139065</wp:posOffset>
                </wp:positionV>
                <wp:extent cx="635" cy="514350"/>
                <wp:effectExtent l="19050" t="24765" r="18415"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3FDF7D7"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" strokeweight="2.5pt"/>
            </w:pict>
          </mc:Fallback>
        </mc:AlternateContent>
      </w:r>
    </w:p>
    <w:p w14:paraId="185961C4"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4181B89D" wp14:editId="289424F2">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7"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565A1D72" wp14:editId="5A288DD5">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8" cstate="print"/>
                    <a:stretch>
                      <a:fillRect/>
                    </a:stretch>
                  </pic:blipFill>
                  <pic:spPr>
                    <a:xfrm>
                      <a:off x="0" y="0"/>
                      <a:ext cx="1981200" cy="476250"/>
                    </a:xfrm>
                    <a:prstGeom prst="rect">
                      <a:avLst/>
                    </a:prstGeom>
                  </pic:spPr>
                </pic:pic>
              </a:graphicData>
            </a:graphic>
          </wp:inline>
        </w:drawing>
      </w:r>
      <w:r>
        <w:t xml:space="preserve"> </w:t>
      </w:r>
    </w:p>
    <w:p w14:paraId="38085334" w14:textId="77777777" w:rsidR="009475FD" w:rsidRDefault="005B6A74" w:rsidP="00990D2D">
      <w:pPr>
        <w:tabs>
          <w:tab w:val="left" w:pos="3015"/>
        </w:tabs>
      </w:pPr>
      <w:r>
        <w:rPr>
          <w:noProof/>
        </w:rPr>
        <mc:AlternateContent>
          <mc:Choice Requires="wps">
            <w:drawing>
              <wp:anchor distT="0" distB="0" distL="114300" distR="114300" simplePos="0" relativeHeight="251665408" behindDoc="1" locked="0" layoutInCell="1" allowOverlap="1" wp14:anchorId="60D6020A" wp14:editId="0D19156C">
                <wp:simplePos x="0" y="0"/>
                <wp:positionH relativeFrom="column">
                  <wp:posOffset>1323975</wp:posOffset>
                </wp:positionH>
                <wp:positionV relativeFrom="paragraph">
                  <wp:posOffset>1905</wp:posOffset>
                </wp:positionV>
                <wp:extent cx="4267200" cy="28575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55A94B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0D6020A"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" filled="f" stroked="f">
                <v:textbox>
                  <w:txbxContent>
                    <w:p w14:paraId="55A94B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326CB1CE" w14:textId="77777777" w:rsidR="00657216" w:rsidRPr="00790C4D" w:rsidRDefault="005B6A74"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16579745" wp14:editId="3952ED09">
                <wp:simplePos x="0" y="0"/>
                <wp:positionH relativeFrom="column">
                  <wp:posOffset>1609725</wp:posOffset>
                </wp:positionH>
                <wp:positionV relativeFrom="paragraph">
                  <wp:posOffset>7620</wp:posOffset>
                </wp:positionV>
                <wp:extent cx="3619500" cy="29527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25CA05B5"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579745"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" filled="f" stroked="f">
                <v:textbox>
                  <w:txbxContent>
                    <w:p w14:paraId="25CA05B5"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v:textbox>
              </v:shape>
            </w:pict>
          </mc:Fallback>
        </mc:AlternateContent>
      </w:r>
    </w:p>
    <w:p w14:paraId="0EEE035B" w14:textId="77777777" w:rsidR="009475FD" w:rsidRDefault="009475FD"/>
    <w:p w14:paraId="5C037387" w14:textId="77777777" w:rsidR="003D33D6" w:rsidRDefault="003D33D6"/>
    <w:p w14:paraId="0B73E819"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Politics &amp; Education Program</w:t>
      </w:r>
    </w:p>
    <w:p w14:paraId="789BC9B1"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 xml:space="preserve">Program Study Guide </w:t>
      </w:r>
    </w:p>
    <w:p w14:paraId="0B957780" w14:textId="77777777" w:rsidR="00997113" w:rsidRDefault="00997113" w:rsidP="00997113">
      <w:pPr>
        <w:rPr>
          <w:rFonts w:ascii="Arial" w:hAnsi="Arial" w:cs="Arial"/>
          <w:color w:val="000000"/>
          <w:sz w:val="23"/>
          <w:szCs w:val="23"/>
        </w:rPr>
      </w:pPr>
      <w:r>
        <w:rPr>
          <w:rFonts w:ascii="Arial" w:hAnsi="Arial" w:cs="Arial"/>
          <w:b/>
          <w:bCs/>
          <w:color w:val="000000"/>
          <w:sz w:val="23"/>
          <w:szCs w:val="23"/>
        </w:rPr>
        <w:t xml:space="preserve"> </w:t>
      </w:r>
    </w:p>
    <w:p w14:paraId="00162812"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Teachers College Major Code:  POLC     </w:t>
      </w:r>
    </w:p>
    <w:p w14:paraId="6D0BE159" w14:textId="77777777" w:rsidR="00997113" w:rsidRDefault="00997113" w:rsidP="00997113">
      <w:pPr>
        <w:pStyle w:val="Default"/>
        <w:jc w:val="center"/>
        <w:rPr>
          <w:rFonts w:ascii="Arial" w:hAnsi="Arial" w:cs="Arial"/>
          <w:b/>
          <w:bCs/>
          <w:sz w:val="23"/>
          <w:szCs w:val="23"/>
        </w:rPr>
      </w:pPr>
      <w:r>
        <w:rPr>
          <w:rFonts w:ascii="Arial" w:hAnsi="Arial" w:cs="Arial"/>
          <w:b/>
          <w:bCs/>
          <w:sz w:val="23"/>
          <w:szCs w:val="23"/>
        </w:rPr>
        <w:t xml:space="preserve">Degree and minimum point requirements:  </w:t>
      </w:r>
      <w:r w:rsidR="00A92AE1">
        <w:rPr>
          <w:rFonts w:ascii="Arial" w:hAnsi="Arial" w:cs="Arial"/>
          <w:b/>
          <w:bCs/>
          <w:sz w:val="23"/>
          <w:szCs w:val="23"/>
        </w:rPr>
        <w:t>M.A. (33</w:t>
      </w:r>
      <w:r w:rsidR="003E22F7">
        <w:rPr>
          <w:rFonts w:ascii="Arial" w:hAnsi="Arial" w:cs="Arial"/>
          <w:b/>
          <w:bCs/>
          <w:sz w:val="23"/>
          <w:szCs w:val="23"/>
        </w:rPr>
        <w:t xml:space="preserve"> points), </w:t>
      </w:r>
      <w:r>
        <w:rPr>
          <w:rFonts w:ascii="Arial" w:hAnsi="Arial" w:cs="Arial"/>
          <w:b/>
          <w:bCs/>
          <w:sz w:val="23"/>
          <w:szCs w:val="23"/>
        </w:rPr>
        <w:t xml:space="preserve">Ed.M. (60 points). </w:t>
      </w:r>
    </w:p>
    <w:p w14:paraId="7BD116FB" w14:textId="77777777" w:rsidR="005B6A74" w:rsidRDefault="005B6A74" w:rsidP="00997113">
      <w:pPr>
        <w:pStyle w:val="Default"/>
        <w:jc w:val="center"/>
        <w:rPr>
          <w:rFonts w:ascii="Arial" w:hAnsi="Arial" w:cs="Arial"/>
          <w:b/>
          <w:bCs/>
          <w:sz w:val="23"/>
          <w:szCs w:val="23"/>
        </w:rPr>
      </w:pPr>
    </w:p>
    <w:p w14:paraId="1F6B8835" w14:textId="62846977" w:rsidR="005B6A74" w:rsidRDefault="005B6A74" w:rsidP="00997113">
      <w:pPr>
        <w:pStyle w:val="Default"/>
        <w:jc w:val="center"/>
        <w:rPr>
          <w:rFonts w:ascii="Arial" w:hAnsi="Arial" w:cs="Arial"/>
          <w:sz w:val="23"/>
          <w:szCs w:val="23"/>
        </w:rPr>
      </w:pPr>
      <w:r>
        <w:rPr>
          <w:rFonts w:ascii="Arial" w:hAnsi="Arial" w:cs="Arial"/>
          <w:b/>
          <w:bCs/>
          <w:sz w:val="23"/>
          <w:szCs w:val="23"/>
        </w:rPr>
        <w:t>For Incoming Summer/Fall 20</w:t>
      </w:r>
      <w:r w:rsidR="00207784">
        <w:rPr>
          <w:rFonts w:ascii="Arial" w:hAnsi="Arial" w:cs="Arial"/>
          <w:b/>
          <w:bCs/>
          <w:sz w:val="23"/>
          <w:szCs w:val="23"/>
        </w:rPr>
        <w:t>2</w:t>
      </w:r>
      <w:r w:rsidR="00110189">
        <w:rPr>
          <w:rFonts w:ascii="Arial" w:hAnsi="Arial" w:cs="Arial"/>
          <w:b/>
          <w:bCs/>
          <w:sz w:val="23"/>
          <w:szCs w:val="23"/>
        </w:rPr>
        <w:t>3</w:t>
      </w:r>
      <w:r>
        <w:rPr>
          <w:rFonts w:ascii="Arial" w:hAnsi="Arial" w:cs="Arial"/>
          <w:b/>
          <w:bCs/>
          <w:sz w:val="23"/>
          <w:szCs w:val="23"/>
        </w:rPr>
        <w:t xml:space="preserve"> Students</w:t>
      </w:r>
    </w:p>
    <w:p w14:paraId="7B5517D1"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5D3BD2AA" w14:textId="77777777" w:rsidR="00997113" w:rsidRPr="00997113" w:rsidRDefault="00997113" w:rsidP="00997113">
      <w:pPr>
        <w:pStyle w:val="Default"/>
        <w:rPr>
          <w:rFonts w:ascii="Times New Roman" w:hAnsi="Times New Roman" w:cs="Times New Roman"/>
          <w:color w:val="003399"/>
          <w:sz w:val="23"/>
          <w:szCs w:val="23"/>
        </w:rPr>
      </w:pPr>
      <w:r w:rsidRPr="00997113">
        <w:rPr>
          <w:rFonts w:ascii="Times New Roman" w:hAnsi="Times New Roman" w:cs="Times New Roman"/>
          <w:b/>
          <w:bCs/>
          <w:i/>
          <w:color w:val="003399"/>
          <w:sz w:val="23"/>
          <w:szCs w:val="23"/>
        </w:rPr>
        <w:t>Program Description</w:t>
      </w:r>
      <w:r>
        <w:rPr>
          <w:rFonts w:ascii="Times New Roman" w:hAnsi="Times New Roman" w:cs="Times New Roman"/>
          <w:color w:val="003399"/>
          <w:sz w:val="23"/>
          <w:szCs w:val="23"/>
        </w:rPr>
        <w:t xml:space="preserve">:  </w:t>
      </w:r>
      <w:r>
        <w:rPr>
          <w:rFonts w:ascii="Times New Roman" w:hAnsi="Times New Roman" w:cs="Times New Roman"/>
          <w:sz w:val="23"/>
          <w:szCs w:val="23"/>
        </w:rPr>
        <w:t>This degree program prepares students for positions as policy leaders at the local, state and national levels</w:t>
      </w:r>
      <w:r w:rsidR="00C14018">
        <w:rPr>
          <w:rFonts w:ascii="Times New Roman" w:hAnsi="Times New Roman" w:cs="Times New Roman"/>
          <w:sz w:val="23"/>
          <w:szCs w:val="23"/>
        </w:rPr>
        <w:t>, or to pursue advanced work in doctoral programs in education policy, political science, or public policy</w:t>
      </w:r>
      <w:r>
        <w:rPr>
          <w:rFonts w:ascii="Times New Roman" w:hAnsi="Times New Roman" w:cs="Times New Roman"/>
          <w:sz w:val="23"/>
          <w:szCs w:val="23"/>
        </w:rPr>
        <w:t xml:space="preserve">. Graduates of this program secure positions as policy advisors and researchers for government agencies, foundations and various private agencies committed to looking at and developing policies for the field of education. </w:t>
      </w:r>
    </w:p>
    <w:p w14:paraId="5B0DB100"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74C46C2" w14:textId="0937AEE2"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Courses are offered in a traditional schedule during the fall, spring and summer terms.</w:t>
      </w:r>
    </w:p>
    <w:p w14:paraId="044360B0"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7E0FC1B"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Students are asked to participate in a set of core political science and general foundation courses in education. Each student will also complete methodological requirements including but not limited to statistics, qualitative and quantitative methods. After completing the core, each student is expected to focus his or her studies on a set of political debates in education or a particular political arena.  </w:t>
      </w:r>
    </w:p>
    <w:p w14:paraId="7D346C2D"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F26E86A"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The program planner shows the thematic areas across which courses should be distributed. Required courses are listed on the planner. Students must consult with their academic advisor before making any substitutions for required courses, including using transfer credits to meet requirements.  </w:t>
      </w:r>
    </w:p>
    <w:p w14:paraId="72AF2443"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40F24E9" w14:textId="77777777" w:rsidR="00997113" w:rsidRPr="00997113" w:rsidRDefault="00997113" w:rsidP="00997113">
      <w:pPr>
        <w:pStyle w:val="Default"/>
        <w:rPr>
          <w:rFonts w:ascii="Times New Roman" w:hAnsi="Times New Roman" w:cs="Times New Roman"/>
          <w:i/>
          <w:color w:val="003399"/>
          <w:sz w:val="23"/>
          <w:szCs w:val="23"/>
        </w:rPr>
      </w:pPr>
      <w:r w:rsidRPr="00997113">
        <w:rPr>
          <w:rFonts w:ascii="Times New Roman" w:hAnsi="Times New Roman" w:cs="Times New Roman"/>
          <w:b/>
          <w:bCs/>
          <w:i/>
          <w:color w:val="003399"/>
          <w:sz w:val="23"/>
          <w:szCs w:val="23"/>
        </w:rPr>
        <w:t>Culminating Integrative Experience</w:t>
      </w:r>
      <w:r>
        <w:rPr>
          <w:rFonts w:ascii="Times New Roman" w:hAnsi="Times New Roman" w:cs="Times New Roman"/>
          <w:b/>
          <w:bCs/>
          <w:i/>
          <w:color w:val="003399"/>
          <w:sz w:val="23"/>
          <w:szCs w:val="23"/>
        </w:rPr>
        <w:t xml:space="preserve">:  </w:t>
      </w:r>
      <w:r>
        <w:rPr>
          <w:rFonts w:ascii="Times New Roman" w:hAnsi="Times New Roman" w:cs="Times New Roman"/>
          <w:sz w:val="23"/>
          <w:szCs w:val="23"/>
        </w:rPr>
        <w:t>Students have two options available to them for their culminating experience. They complete either a comprehensive exam or research paper. The comprehensive exam for the Master</w:t>
      </w:r>
      <w:r w:rsidR="003B487C">
        <w:rPr>
          <w:rFonts w:ascii="Times New Roman" w:hAnsi="Times New Roman" w:cs="Times New Roman"/>
          <w:sz w:val="23"/>
          <w:szCs w:val="23"/>
        </w:rPr>
        <w:t>’</w:t>
      </w:r>
      <w:r>
        <w:rPr>
          <w:rFonts w:ascii="Times New Roman" w:hAnsi="Times New Roman" w:cs="Times New Roman"/>
          <w:sz w:val="23"/>
          <w:szCs w:val="23"/>
        </w:rPr>
        <w:t>s in Politics and Education is designed to give students an opportunity to reflect on t</w:t>
      </w:r>
      <w:r w:rsidR="003B487C">
        <w:rPr>
          <w:rFonts w:ascii="Times New Roman" w:hAnsi="Times New Roman" w:cs="Times New Roman"/>
          <w:sz w:val="23"/>
          <w:szCs w:val="23"/>
        </w:rPr>
        <w:t>he material learned during the M</w:t>
      </w:r>
      <w:r>
        <w:rPr>
          <w:rFonts w:ascii="Times New Roman" w:hAnsi="Times New Roman" w:cs="Times New Roman"/>
          <w:sz w:val="23"/>
          <w:szCs w:val="23"/>
        </w:rPr>
        <w:t>aster</w:t>
      </w:r>
      <w:r w:rsidR="003B487C">
        <w:rPr>
          <w:rFonts w:ascii="Times New Roman" w:hAnsi="Times New Roman" w:cs="Times New Roman"/>
          <w:sz w:val="23"/>
          <w:szCs w:val="23"/>
        </w:rPr>
        <w:t>’</w:t>
      </w:r>
      <w:r>
        <w:rPr>
          <w:rFonts w:ascii="Times New Roman" w:hAnsi="Times New Roman" w:cs="Times New Roman"/>
          <w:sz w:val="23"/>
          <w:szCs w:val="23"/>
        </w:rPr>
        <w:t xml:space="preserve">s program and to test their ability to integrate and apply ideas and evidence they have been exposed to in the course of their program of studies. The four-hour essay examination is usually taken after all or nearly all coursework has been completed.  </w:t>
      </w:r>
    </w:p>
    <w:p w14:paraId="1407E12E"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14:paraId="0D564FB8" w14:textId="77777777" w:rsidR="005B6A74" w:rsidRDefault="00997113" w:rsidP="005B6A74">
      <w:pPr>
        <w:pStyle w:val="Default"/>
        <w:rPr>
          <w:rFonts w:ascii="Times New Roman" w:hAnsi="Times New Roman" w:cs="Times New Roman"/>
          <w:sz w:val="23"/>
          <w:szCs w:val="23"/>
        </w:rPr>
      </w:pPr>
      <w:r>
        <w:rPr>
          <w:rFonts w:ascii="Times New Roman" w:hAnsi="Times New Roman" w:cs="Times New Roman"/>
          <w:sz w:val="23"/>
          <w:szCs w:val="23"/>
        </w:rPr>
        <w:t xml:space="preserve">With special permission, students in the </w:t>
      </w:r>
      <w:proofErr w:type="gramStart"/>
      <w:r>
        <w:rPr>
          <w:rFonts w:ascii="Times New Roman" w:hAnsi="Times New Roman" w:cs="Times New Roman"/>
          <w:sz w:val="23"/>
          <w:szCs w:val="23"/>
        </w:rPr>
        <w:t>masters</w:t>
      </w:r>
      <w:proofErr w:type="gramEnd"/>
      <w:r>
        <w:rPr>
          <w:rFonts w:ascii="Times New Roman" w:hAnsi="Times New Roman" w:cs="Times New Roman"/>
          <w:sz w:val="23"/>
          <w:szCs w:val="23"/>
        </w:rPr>
        <w:t xml:space="preserve"> programs in politics and education may satisfy the culminating requirement by preparing a masters paper. This paper takes the form of a journal article of publishable quality. Students intending to use this option must submit, no later than the beginning of the final term, an acceptable proposal (6-8 pages), laying out the research question, establishing its significance, and outlining a research design. It must be emphasized that the standard for evaluating these papers will be extremely high. Do not plan on employing this option unless you have strong </w:t>
      </w:r>
      <w:r>
        <w:rPr>
          <w:rFonts w:ascii="Times New Roman" w:hAnsi="Times New Roman" w:cs="Times New Roman"/>
          <w:sz w:val="23"/>
          <w:szCs w:val="23"/>
        </w:rPr>
        <w:lastRenderedPageBreak/>
        <w:t xml:space="preserve">support from both the program coordinator and a full-time faculty member who is an expert in the issue you intend to write about and is willing to serve as your advisor.  </w:t>
      </w:r>
    </w:p>
    <w:p w14:paraId="433D0D8D" w14:textId="77777777" w:rsidR="005B6A74" w:rsidRDefault="005B6A74" w:rsidP="005B6A74">
      <w:pPr>
        <w:pStyle w:val="Default"/>
        <w:rPr>
          <w:rFonts w:ascii="Times New Roman" w:hAnsi="Times New Roman" w:cs="Times New Roman"/>
          <w:sz w:val="23"/>
          <w:szCs w:val="23"/>
        </w:rPr>
      </w:pPr>
    </w:p>
    <w:p w14:paraId="183DAD8C" w14:textId="0A9561DC" w:rsidR="00997113" w:rsidRDefault="00997113" w:rsidP="005B6A74">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Breadth Requirement</w:t>
      </w:r>
      <w:r w:rsidRPr="00997113">
        <w:rPr>
          <w:rFonts w:ascii="Times New Roman" w:hAnsi="Times New Roman" w:cs="Times New Roman"/>
          <w:i/>
          <w:color w:val="003399"/>
          <w:sz w:val="23"/>
          <w:szCs w:val="23"/>
        </w:rPr>
        <w:t>:</w:t>
      </w:r>
      <w:r>
        <w:rPr>
          <w:rFonts w:ascii="Times New Roman" w:hAnsi="Times New Roman" w:cs="Times New Roman"/>
          <w:sz w:val="23"/>
          <w:szCs w:val="23"/>
        </w:rPr>
        <w:t xml:space="preserve">  All Teachers College students must complete a prescribed number of points outside of their program </w:t>
      </w:r>
      <w:r w:rsidR="000645E0">
        <w:rPr>
          <w:rFonts w:ascii="Times New Roman" w:hAnsi="Times New Roman" w:cs="Times New Roman"/>
          <w:sz w:val="23"/>
          <w:szCs w:val="23"/>
        </w:rPr>
        <w:t>or</w:t>
      </w:r>
      <w:r>
        <w:rPr>
          <w:rFonts w:ascii="Times New Roman" w:hAnsi="Times New Roman" w:cs="Times New Roman"/>
          <w:sz w:val="23"/>
          <w:szCs w:val="23"/>
        </w:rPr>
        <w:t xml:space="preserve"> department. For this degree program, all students need to complete at least </w:t>
      </w:r>
      <w:r w:rsidR="006C206C">
        <w:rPr>
          <w:rFonts w:ascii="Times New Roman" w:hAnsi="Times New Roman" w:cs="Times New Roman"/>
          <w:sz w:val="23"/>
          <w:szCs w:val="23"/>
        </w:rPr>
        <w:t xml:space="preserve">6 credits </w:t>
      </w:r>
      <w:r>
        <w:rPr>
          <w:rFonts w:ascii="Times New Roman" w:hAnsi="Times New Roman" w:cs="Times New Roman"/>
          <w:sz w:val="23"/>
          <w:szCs w:val="23"/>
        </w:rPr>
        <w:t>of coursework outside of the program core</w:t>
      </w:r>
      <w:r w:rsidR="00C14018">
        <w:rPr>
          <w:rFonts w:ascii="Times New Roman" w:hAnsi="Times New Roman" w:cs="Times New Roman"/>
          <w:sz w:val="23"/>
          <w:szCs w:val="23"/>
        </w:rPr>
        <w:t xml:space="preserve"> (in other programs </w:t>
      </w:r>
      <w:r w:rsidR="000645E0">
        <w:rPr>
          <w:rFonts w:ascii="Times New Roman" w:hAnsi="Times New Roman" w:cs="Times New Roman"/>
          <w:sz w:val="23"/>
          <w:szCs w:val="23"/>
        </w:rPr>
        <w:t>or</w:t>
      </w:r>
      <w:r w:rsidR="00C14018">
        <w:rPr>
          <w:rFonts w:ascii="Times New Roman" w:hAnsi="Times New Roman" w:cs="Times New Roman"/>
          <w:sz w:val="23"/>
          <w:szCs w:val="23"/>
        </w:rPr>
        <w:t xml:space="preserve"> departments)</w:t>
      </w:r>
      <w:r>
        <w:rPr>
          <w:rFonts w:ascii="Times New Roman" w:hAnsi="Times New Roman" w:cs="Times New Roman"/>
          <w:sz w:val="23"/>
          <w:szCs w:val="23"/>
        </w:rPr>
        <w:t>.</w:t>
      </w:r>
      <w:r>
        <w:rPr>
          <w:rStyle w:val="FootnoteReference"/>
          <w:rFonts w:ascii="Times New Roman" w:hAnsi="Times New Roman" w:cs="Times New Roman"/>
          <w:sz w:val="23"/>
          <w:szCs w:val="23"/>
        </w:rPr>
        <w:footnoteReference w:id="1"/>
      </w:r>
      <w:r w:rsidR="00C14018">
        <w:rPr>
          <w:rFonts w:ascii="Times New Roman" w:hAnsi="Times New Roman" w:cs="Times New Roman"/>
          <w:sz w:val="23"/>
          <w:szCs w:val="23"/>
        </w:rPr>
        <w:t xml:space="preserve"> </w:t>
      </w:r>
      <w:r>
        <w:rPr>
          <w:rFonts w:ascii="Times New Roman" w:hAnsi="Times New Roman" w:cs="Times New Roman"/>
          <w:sz w:val="23"/>
          <w:szCs w:val="23"/>
        </w:rPr>
        <w:t>Also, up to 12 points can be completed at Columbia University.</w:t>
      </w:r>
      <w:r w:rsidR="000374D9">
        <w:rPr>
          <w:rStyle w:val="FootnoteReference"/>
          <w:rFonts w:ascii="Times New Roman" w:hAnsi="Times New Roman" w:cs="Times New Roman"/>
          <w:sz w:val="23"/>
          <w:szCs w:val="23"/>
        </w:rPr>
        <w:footnoteReference w:id="2"/>
      </w:r>
      <w:r>
        <w:rPr>
          <w:rFonts w:ascii="Times New Roman" w:hAnsi="Times New Roman" w:cs="Times New Roman"/>
          <w:sz w:val="23"/>
          <w:szCs w:val="23"/>
        </w:rPr>
        <w:t xml:space="preserve"> This enables students to receive a more complete understanding of their fields of study.   </w:t>
      </w:r>
    </w:p>
    <w:p w14:paraId="113786BD"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1A38C0F4"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Ed.M. Program Transfer Credits</w:t>
      </w:r>
      <w:r w:rsidRPr="00997113">
        <w:rPr>
          <w:rFonts w:ascii="Times New Roman" w:hAnsi="Times New Roman" w:cs="Times New Roman"/>
          <w:i/>
          <w:color w:val="003399"/>
          <w:sz w:val="23"/>
          <w:szCs w:val="23"/>
        </w:rPr>
        <w:t>:</w:t>
      </w:r>
      <w:r>
        <w:rPr>
          <w:rFonts w:ascii="Times New Roman" w:hAnsi="Times New Roman" w:cs="Times New Roman"/>
          <w:sz w:val="23"/>
          <w:szCs w:val="23"/>
        </w:rPr>
        <w:t xml:space="preserve">  Students may transfer up to 30 points from a previous degree or institution into this degree program with the approval of their faculty advisor. The faculty advisor will review all courses to determine what is relevant to the Politics and Education program, and what was recently completed. The faculty may ask students to submit additional documentation to assist in this process (i.e., annotated bibliography or syllabus).  </w:t>
      </w:r>
    </w:p>
    <w:p w14:paraId="0E4EFE46"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77D8EA9"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M</w:t>
      </w:r>
      <w:r w:rsidR="003B487C">
        <w:rPr>
          <w:rFonts w:ascii="Times New Roman" w:hAnsi="Times New Roman" w:cs="Times New Roman"/>
          <w:b/>
          <w:bCs/>
          <w:i/>
          <w:color w:val="003399"/>
          <w:sz w:val="23"/>
          <w:szCs w:val="23"/>
        </w:rPr>
        <w:t>.</w:t>
      </w:r>
      <w:r w:rsidRPr="00997113">
        <w:rPr>
          <w:rFonts w:ascii="Times New Roman" w:hAnsi="Times New Roman" w:cs="Times New Roman"/>
          <w:b/>
          <w:bCs/>
          <w:i/>
          <w:color w:val="003399"/>
          <w:sz w:val="23"/>
          <w:szCs w:val="23"/>
        </w:rPr>
        <w:t>A</w:t>
      </w:r>
      <w:r w:rsidR="003B487C">
        <w:rPr>
          <w:rFonts w:ascii="Times New Roman" w:hAnsi="Times New Roman" w:cs="Times New Roman"/>
          <w:b/>
          <w:bCs/>
          <w:i/>
          <w:color w:val="003399"/>
          <w:sz w:val="23"/>
          <w:szCs w:val="23"/>
        </w:rPr>
        <w:t>.</w:t>
      </w:r>
      <w:r w:rsidRPr="00997113">
        <w:rPr>
          <w:rFonts w:ascii="Times New Roman" w:hAnsi="Times New Roman" w:cs="Times New Roman"/>
          <w:b/>
          <w:bCs/>
          <w:i/>
          <w:color w:val="003399"/>
          <w:sz w:val="23"/>
          <w:szCs w:val="23"/>
        </w:rPr>
        <w:t xml:space="preserve"> Program Transfer Credits:</w:t>
      </w:r>
      <w:r>
        <w:rPr>
          <w:rFonts w:ascii="Times New Roman" w:hAnsi="Times New Roman" w:cs="Times New Roman"/>
          <w:sz w:val="23"/>
          <w:szCs w:val="23"/>
        </w:rPr>
        <w:t xml:space="preserve"> Students may not transfer points from a previous degree or institution into this degree program.  </w:t>
      </w:r>
    </w:p>
    <w:p w14:paraId="76D6AAF4"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469505F" w14:textId="325E6C38"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Expectations for Satisfactory Progress:</w:t>
      </w:r>
      <w:r>
        <w:rPr>
          <w:rFonts w:ascii="Times New Roman" w:hAnsi="Times New Roman" w:cs="Times New Roman"/>
          <w:b/>
          <w:bCs/>
          <w:sz w:val="23"/>
          <w:szCs w:val="23"/>
        </w:rPr>
        <w:t xml:space="preserve"> </w:t>
      </w:r>
      <w:r>
        <w:rPr>
          <w:rFonts w:ascii="Times New Roman" w:hAnsi="Times New Roman" w:cs="Times New Roman"/>
          <w:sz w:val="23"/>
          <w:szCs w:val="23"/>
        </w:rPr>
        <w:t xml:space="preserve">Students are expected to make satisfactory progress toward the completion of degree requirements.  It is the policy of the Department of Education Policy and Social Analysis that all students must enroll in at least three credits per term (fall and spring)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w:t>
      </w:r>
      <w:r w:rsidR="00B302E1">
        <w:rPr>
          <w:rFonts w:ascii="Times New Roman" w:hAnsi="Times New Roman" w:cs="Times New Roman"/>
          <w:sz w:val="23"/>
          <w:szCs w:val="23"/>
        </w:rPr>
        <w:t>expectations,</w:t>
      </w:r>
      <w:r>
        <w:rPr>
          <w:rFonts w:ascii="Times New Roman" w:hAnsi="Times New Roman" w:cs="Times New Roman"/>
          <w:sz w:val="23"/>
          <w:szCs w:val="23"/>
        </w:rPr>
        <w:t xml:space="preserve">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61654E40" w14:textId="47DB42C0" w:rsidR="008138C6" w:rsidRDefault="00CE754B" w:rsidP="008138C6">
      <w:pPr>
        <w:rPr>
          <w:i/>
          <w:color w:val="444444"/>
          <w:sz w:val="20"/>
          <w:szCs w:val="20"/>
        </w:rPr>
      </w:pPr>
      <w:r w:rsidRPr="00452AAC">
        <w:rPr>
          <w:b/>
          <w:i/>
          <w:iCs/>
          <w:color w:val="222222"/>
          <w:sz w:val="23"/>
          <w:szCs w:val="23"/>
        </w:rPr>
        <w:t xml:space="preserve">Beginning in the Fall 2018 term, all students who enroll in a degree program must register for courses beginning with their initial term of entry and continuing each fall/spring term until their degree requirements have been met. </w:t>
      </w:r>
      <w:r w:rsidR="00DF5670" w:rsidRPr="00452AAC">
        <w:rPr>
          <w:b/>
          <w:i/>
          <w:iCs/>
          <w:color w:val="222222"/>
          <w:sz w:val="23"/>
          <w:szCs w:val="23"/>
        </w:rPr>
        <w:t xml:space="preserve">To meet the continuous enrollment requirement </w:t>
      </w:r>
      <w:r w:rsidR="00B8732C">
        <w:rPr>
          <w:b/>
          <w:i/>
          <w:iCs/>
          <w:color w:val="222222"/>
          <w:sz w:val="23"/>
          <w:szCs w:val="23"/>
        </w:rPr>
        <w:t xml:space="preserve">master’s </w:t>
      </w:r>
      <w:r w:rsidR="00DF5670" w:rsidRPr="00452AAC">
        <w:rPr>
          <w:b/>
          <w:i/>
          <w:iCs/>
          <w:color w:val="222222"/>
          <w:sz w:val="23"/>
          <w:szCs w:val="23"/>
        </w:rPr>
        <w:t>students must do one of the following: A) register for course work, B.)  register as a master’s candidate (requires the College fee), C.)</w:t>
      </w:r>
      <w:r w:rsidR="00B8732C">
        <w:rPr>
          <w:b/>
          <w:i/>
          <w:iCs/>
          <w:color w:val="222222"/>
          <w:sz w:val="23"/>
          <w:szCs w:val="23"/>
        </w:rPr>
        <w:t> </w:t>
      </w:r>
      <w:r w:rsidR="00DF5670" w:rsidRPr="00452AAC">
        <w:rPr>
          <w:b/>
          <w:i/>
          <w:iCs/>
          <w:color w:val="222222"/>
          <w:sz w:val="23"/>
          <w:szCs w:val="23"/>
        </w:rPr>
        <w:t> request and receive a leave of absence (medical, military, or personal) according to TC’s leave policy</w:t>
      </w:r>
      <w:r w:rsidR="00B8732C">
        <w:rPr>
          <w:b/>
          <w:i/>
          <w:iCs/>
          <w:color w:val="222222"/>
          <w:sz w:val="23"/>
          <w:szCs w:val="23"/>
        </w:rPr>
        <w:t xml:space="preserve">. </w:t>
      </w:r>
      <w:r w:rsidR="00DF5670" w:rsidRPr="00452AAC">
        <w:rPr>
          <w:b/>
          <w:i/>
          <w:iCs/>
          <w:color w:val="222222"/>
          <w:sz w:val="23"/>
          <w:szCs w:val="23"/>
        </w:rPr>
        <w:t xml:space="preserve">For a full description of the new policy on continuous enrollment </w:t>
      </w:r>
      <w:r w:rsidR="00DF5670" w:rsidRPr="004E1A6D">
        <w:rPr>
          <w:b/>
          <w:i/>
          <w:iCs/>
          <w:color w:val="222222"/>
          <w:sz w:val="23"/>
          <w:szCs w:val="23"/>
        </w:rPr>
        <w:t xml:space="preserve">see </w:t>
      </w:r>
      <w:hyperlink r:id="rId9" w:history="1">
        <w:r w:rsidR="008138C6" w:rsidRPr="004E1A6D">
          <w:rPr>
            <w:rStyle w:val="Hyperlink"/>
            <w:b/>
            <w:i/>
            <w:sz w:val="20"/>
            <w:szCs w:val="20"/>
          </w:rPr>
          <w:t>https://goo.gl/esMBDK</w:t>
        </w:r>
      </w:hyperlink>
      <w:r w:rsidR="008138C6" w:rsidRPr="00452AAC">
        <w:rPr>
          <w:i/>
          <w:color w:val="444444"/>
          <w:sz w:val="20"/>
          <w:szCs w:val="20"/>
        </w:rPr>
        <w:t>.</w:t>
      </w:r>
    </w:p>
    <w:p w14:paraId="773D1E8E"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ECA29D0" w14:textId="6F260B83"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Services for Students with Disabilities:</w:t>
      </w:r>
      <w:r>
        <w:rPr>
          <w:rFonts w:ascii="Times New Roman" w:hAnsi="Times New Roman" w:cs="Times New Roman"/>
          <w:b/>
          <w:bCs/>
          <w:color w:val="000080"/>
          <w:sz w:val="23"/>
          <w:szCs w:val="23"/>
        </w:rPr>
        <w:t xml:space="preserve">  </w:t>
      </w:r>
      <w:r>
        <w:rPr>
          <w:rFonts w:ascii="Times New Roman" w:hAnsi="Times New Roman" w:cs="Times New Roman"/>
          <w:sz w:val="23"/>
          <w:szCs w:val="23"/>
        </w:rPr>
        <w:t>The College will make reasonable accommodations for persons with documented disabilities. Students are encouraged to contact the Office of Access and Services for Individuals with Disabilities for information about registration (</w:t>
      </w:r>
      <w:r w:rsidR="00B302E1">
        <w:rPr>
          <w:rFonts w:ascii="Times New Roman" w:hAnsi="Times New Roman" w:cs="Times New Roman"/>
          <w:sz w:val="23"/>
          <w:szCs w:val="23"/>
        </w:rPr>
        <w:t>301 Zankel Bldg.)</w:t>
      </w:r>
      <w:r>
        <w:rPr>
          <w:rFonts w:ascii="Times New Roman" w:hAnsi="Times New Roman" w:cs="Times New Roman"/>
          <w:sz w:val="23"/>
          <w:szCs w:val="23"/>
        </w:rPr>
        <w:t xml:space="preserve">  Services are available only to students who are registered and submit appropriate documentation. </w:t>
      </w:r>
    </w:p>
    <w:p w14:paraId="2CB3170F"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207B23E" w14:textId="77777777" w:rsidR="00207784" w:rsidRDefault="00997113" w:rsidP="00207784">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Statement on Academic Conduct:</w:t>
      </w:r>
      <w:r>
        <w:rPr>
          <w:rFonts w:ascii="Times New Roman" w:hAnsi="Times New Roman" w:cs="Times New Roman"/>
          <w:b/>
          <w:bCs/>
          <w:sz w:val="23"/>
          <w:szCs w:val="23"/>
        </w:rPr>
        <w:t xml:space="preserve"> </w:t>
      </w:r>
      <w:r>
        <w:rPr>
          <w:rFonts w:ascii="Times New Roman" w:hAnsi="Times New Roman" w:cs="Times New Roman"/>
          <w:sz w:val="23"/>
          <w:szCs w:val="23"/>
        </w:rPr>
        <w:t xml:space="preserve">A Teachers College student is expected to refrain from any conduct, </w:t>
      </w:r>
      <w:r>
        <w:rPr>
          <w:rFonts w:ascii="Times New Roman" w:hAnsi="Times New Roman" w:cs="Times New Roman"/>
          <w:sz w:val="23"/>
          <w:szCs w:val="23"/>
        </w:rPr>
        <w:lastRenderedPageBreak/>
        <w:t xml:space="preserve">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41E9A0FA" w14:textId="77777777" w:rsidR="00207784" w:rsidRDefault="00207784" w:rsidP="00207784">
      <w:pPr>
        <w:pStyle w:val="Default"/>
        <w:rPr>
          <w:rFonts w:ascii="Times New Roman" w:hAnsi="Times New Roman" w:cs="Times New Roman"/>
          <w:sz w:val="23"/>
          <w:szCs w:val="23"/>
        </w:rPr>
      </w:pPr>
    </w:p>
    <w:p w14:paraId="34DC95A7" w14:textId="2C4DDB7A" w:rsidR="00997113" w:rsidRDefault="00997113" w:rsidP="00207784">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Resolution of Student Academic Program Concerns:</w:t>
      </w:r>
      <w:r>
        <w:rPr>
          <w:rFonts w:ascii="Times New Roman" w:hAnsi="Times New Roman" w:cs="Times New Roman"/>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0D6609C1"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1E90DBAD" w14:textId="3BAAD342" w:rsidR="00997113" w:rsidRPr="00110189"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Grade Correction Procedure:</w:t>
      </w:r>
      <w:r>
        <w:rPr>
          <w:rFonts w:ascii="Times New Roman" w:hAnsi="Times New Roman" w:cs="Times New Roman"/>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w:t>
      </w:r>
      <w:r w:rsidRPr="00110189">
        <w:rPr>
          <w:rFonts w:ascii="Times New Roman" w:hAnsi="Times New Roman" w:cs="Times New Roman"/>
          <w:sz w:val="23"/>
          <w:szCs w:val="23"/>
        </w:rPr>
        <w:t>Provost</w:t>
      </w:r>
      <w:r w:rsidR="00110189" w:rsidRPr="00110189">
        <w:rPr>
          <w:rFonts w:ascii="Times New Roman" w:hAnsi="Times New Roman" w:cs="Times New Roman"/>
          <w:sz w:val="23"/>
          <w:szCs w:val="23"/>
        </w:rPr>
        <w:t xml:space="preserve"> </w:t>
      </w:r>
      <w:r w:rsidR="00110189" w:rsidRPr="00110189">
        <w:rPr>
          <w:rFonts w:ascii="Times New Roman" w:hAnsi="Times New Roman" w:cs="Times New Roman"/>
          <w:sz w:val="23"/>
          <w:szCs w:val="23"/>
        </w:rPr>
        <w:t xml:space="preserve">(more at </w:t>
      </w:r>
      <w:hyperlink r:id="rId10" w:history="1">
        <w:r w:rsidR="00110189" w:rsidRPr="00110189">
          <w:rPr>
            <w:rStyle w:val="Hyperlink"/>
            <w:rFonts w:ascii="Times New Roman" w:hAnsi="Times New Roman" w:cs="Times New Roman"/>
            <w:sz w:val="23"/>
            <w:szCs w:val="23"/>
          </w:rPr>
          <w:t>Teachers College Policies and Procedures</w:t>
        </w:r>
      </w:hyperlink>
      <w:r w:rsidR="00110189" w:rsidRPr="00110189">
        <w:rPr>
          <w:rFonts w:ascii="Times New Roman" w:hAnsi="Times New Roman" w:cs="Times New Roman"/>
          <w:sz w:val="23"/>
          <w:szCs w:val="23"/>
        </w:rPr>
        <w:t>).</w:t>
      </w:r>
      <w:r w:rsidRPr="00110189">
        <w:rPr>
          <w:rFonts w:ascii="Times New Roman" w:hAnsi="Times New Roman" w:cs="Times New Roman"/>
          <w:sz w:val="23"/>
          <w:szCs w:val="23"/>
        </w:rPr>
        <w:t xml:space="preserve"> </w:t>
      </w:r>
    </w:p>
    <w:p w14:paraId="364835EB" w14:textId="77777777" w:rsidR="00997113" w:rsidRPr="00110189" w:rsidRDefault="00997113" w:rsidP="00997113">
      <w:pPr>
        <w:pStyle w:val="Default"/>
        <w:rPr>
          <w:rFonts w:ascii="Times New Roman" w:hAnsi="Times New Roman" w:cs="Times New Roman"/>
          <w:sz w:val="23"/>
          <w:szCs w:val="23"/>
        </w:rPr>
      </w:pPr>
      <w:r w:rsidRPr="00110189">
        <w:rPr>
          <w:rFonts w:ascii="Times New Roman" w:hAnsi="Times New Roman" w:cs="Times New Roman"/>
          <w:sz w:val="23"/>
          <w:szCs w:val="23"/>
        </w:rPr>
        <w:t xml:space="preserve"> </w:t>
      </w:r>
    </w:p>
    <w:p w14:paraId="0B494972"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1593626C" w14:textId="77777777" w:rsidR="00997113" w:rsidRDefault="00997113"/>
    <w:sectPr w:rsidR="00997113" w:rsidSect="000D05B7">
      <w:footerReference w:type="default" r:id="rId11"/>
      <w:pgSz w:w="12240" w:h="15840"/>
      <w:pgMar w:top="720" w:right="1440" w:bottom="990" w:left="1170" w:header="720" w:footer="1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76D4" w14:textId="77777777" w:rsidR="005E5091" w:rsidRDefault="005E5091" w:rsidP="00BF14AC">
      <w:r>
        <w:separator/>
      </w:r>
    </w:p>
  </w:endnote>
  <w:endnote w:type="continuationSeparator" w:id="0">
    <w:p w14:paraId="55242152" w14:textId="77777777" w:rsidR="005E5091" w:rsidRDefault="005E5091"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0656" w14:textId="427EFF27" w:rsidR="00BF14AC" w:rsidRDefault="005B6A74">
    <w:pPr>
      <w:pStyle w:val="Footer"/>
      <w:rPr>
        <w:sz w:val="20"/>
        <w:szCs w:val="20"/>
      </w:rPr>
    </w:pPr>
    <w:r w:rsidRPr="000A362D">
      <w:rPr>
        <w:sz w:val="20"/>
        <w:szCs w:val="20"/>
      </w:rPr>
      <w:t xml:space="preserve">Last updated: </w:t>
    </w:r>
    <w:r w:rsidR="00110189">
      <w:rPr>
        <w:sz w:val="20"/>
        <w:szCs w:val="20"/>
      </w:rPr>
      <w:t>March 2023</w:t>
    </w:r>
  </w:p>
  <w:p w14:paraId="4F8B6DAE" w14:textId="77777777" w:rsidR="00207784" w:rsidRDefault="00207784">
    <w:pPr>
      <w:pStyle w:val="Footer"/>
      <w:rPr>
        <w:sz w:val="20"/>
        <w:szCs w:val="20"/>
      </w:rPr>
    </w:pPr>
  </w:p>
  <w:p w14:paraId="4C69D414" w14:textId="77777777" w:rsidR="00D15011" w:rsidRPr="000A362D" w:rsidRDefault="00D15011">
    <w:pPr>
      <w:pStyle w:val="Footer"/>
      <w:rPr>
        <w:sz w:val="20"/>
        <w:szCs w:val="20"/>
      </w:rPr>
    </w:pPr>
  </w:p>
  <w:p w14:paraId="729FCF0E" w14:textId="77777777" w:rsidR="00B42388" w:rsidRDefault="00B42388">
    <w:pPr>
      <w:pStyle w:val="Footer"/>
    </w:pPr>
  </w:p>
  <w:p w14:paraId="77D746AA" w14:textId="77777777" w:rsidR="005B6A74" w:rsidRDefault="005B6A74">
    <w:pPr>
      <w:pStyle w:val="Footer"/>
    </w:pPr>
  </w:p>
  <w:p w14:paraId="18BEEE42" w14:textId="77777777" w:rsidR="00BF14AC" w:rsidRDefault="005B6A74">
    <w:pPr>
      <w:pStyle w:val="Footer"/>
    </w:pPr>
    <w:r>
      <w:rPr>
        <w:noProof/>
      </w:rPr>
      <mc:AlternateContent>
        <mc:Choice Requires="wps">
          <w:drawing>
            <wp:anchor distT="0" distB="0" distL="114300" distR="114300" simplePos="0" relativeHeight="251660288" behindDoc="0" locked="0" layoutInCell="1" allowOverlap="1" wp14:anchorId="3232AE7B" wp14:editId="5D5C6379">
              <wp:simplePos x="0" y="0"/>
              <wp:positionH relativeFrom="column">
                <wp:posOffset>-47625</wp:posOffset>
              </wp:positionH>
              <wp:positionV relativeFrom="paragraph">
                <wp:posOffset>165735</wp:posOffset>
              </wp:positionV>
              <wp:extent cx="6419850" cy="3143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3366CC"/>
                            </a:solidFill>
                            <a:miter lim="800000"/>
                            <a:headEnd/>
                            <a:tailEnd/>
                          </a14:hiddenLine>
                        </a:ext>
                      </a:extLst>
                    </wps:spPr>
                    <wps:txbx>
                      <w:txbxContent>
                        <w:p w14:paraId="122E310E"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111C9778" w14:textId="77777777" w:rsidR="00BF14AC" w:rsidRDefault="00BF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232AE7B" id="_x0000_t202" coordsize="21600,21600" o:spt="202" path="m,l,21600r21600,l21600,xe">
              <v:stroke joinstyle="miter"/>
              <v:path gradientshapeok="t" o:connecttype="rect"/>
            </v:shapetype>
            <v:shape id="Text Box 1" o:spid="_x0000_s1028" type="#_x0000_t202" style="position:absolute;margin-left:-3.75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gBAIAAO8DAAAOAAAAZHJzL2Uyb0RvYy54bWysU1Fv0zAQfkfiP1h+p2m6d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" stroked="f">
              <v:textbox>
                <w:txbxContent>
                  <w:p w14:paraId="122E310E"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111C9778" w14:textId="77777777" w:rsidR="00BF14AC" w:rsidRDefault="00BF14A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7E11" w14:textId="77777777" w:rsidR="005E5091" w:rsidRDefault="005E5091" w:rsidP="00BF14AC">
      <w:r>
        <w:separator/>
      </w:r>
    </w:p>
  </w:footnote>
  <w:footnote w:type="continuationSeparator" w:id="0">
    <w:p w14:paraId="705664F1" w14:textId="77777777" w:rsidR="005E5091" w:rsidRDefault="005E5091" w:rsidP="00BF14AC">
      <w:r>
        <w:continuationSeparator/>
      </w:r>
    </w:p>
  </w:footnote>
  <w:footnote w:id="1">
    <w:p w14:paraId="3C60FB0A" w14:textId="77777777" w:rsidR="00997113" w:rsidRDefault="00997113">
      <w:pPr>
        <w:pStyle w:val="FootnoteText"/>
      </w:pPr>
      <w:r>
        <w:rPr>
          <w:rStyle w:val="FootnoteReference"/>
        </w:rPr>
        <w:footnoteRef/>
      </w:r>
      <w:r>
        <w:t xml:space="preserve"> </w:t>
      </w:r>
      <w:r w:rsidRPr="00CE754B">
        <w:rPr>
          <w:bCs/>
          <w:sz w:val="16"/>
          <w:szCs w:val="16"/>
        </w:rPr>
        <w:t>Program core courses, for the purpose of this requirement, include all courses with an EDPP designation, plus the following subset of EDPA courses: Public Policy and Education, Education Policy Implementation, Law &amp; Educational Institutions, and History and Politics of Urban School Reform.</w:t>
      </w:r>
    </w:p>
  </w:footnote>
  <w:footnote w:id="2">
    <w:p w14:paraId="6C0BFD9B" w14:textId="04D85E43" w:rsidR="000374D9" w:rsidRDefault="000374D9">
      <w:pPr>
        <w:pStyle w:val="FootnoteText"/>
      </w:pPr>
      <w:r>
        <w:rPr>
          <w:rStyle w:val="FootnoteReference"/>
        </w:rPr>
        <w:footnoteRef/>
      </w:r>
      <w:r>
        <w:t xml:space="preserve"> </w:t>
      </w:r>
      <w:r w:rsidRPr="00617C73">
        <w:rPr>
          <w:sz w:val="16"/>
          <w:szCs w:val="16"/>
        </w:rPr>
        <w:t>Non-TC courses at Columbia frequently have a higher tuition rate and TC does not cover that differential.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D"/>
    <w:rsid w:val="00030180"/>
    <w:rsid w:val="000351E1"/>
    <w:rsid w:val="000374D9"/>
    <w:rsid w:val="0004559A"/>
    <w:rsid w:val="000645E0"/>
    <w:rsid w:val="0008236A"/>
    <w:rsid w:val="000A362D"/>
    <w:rsid w:val="000D05B7"/>
    <w:rsid w:val="00110189"/>
    <w:rsid w:val="0018240F"/>
    <w:rsid w:val="001C1E37"/>
    <w:rsid w:val="001E4DCD"/>
    <w:rsid w:val="00207784"/>
    <w:rsid w:val="0023057C"/>
    <w:rsid w:val="002C7655"/>
    <w:rsid w:val="002D4D49"/>
    <w:rsid w:val="002D74E2"/>
    <w:rsid w:val="002F495C"/>
    <w:rsid w:val="003204AC"/>
    <w:rsid w:val="00397020"/>
    <w:rsid w:val="003B487C"/>
    <w:rsid w:val="003D33D6"/>
    <w:rsid w:val="003E22F7"/>
    <w:rsid w:val="003F31CA"/>
    <w:rsid w:val="00452AAC"/>
    <w:rsid w:val="00461695"/>
    <w:rsid w:val="00480722"/>
    <w:rsid w:val="00483B1C"/>
    <w:rsid w:val="004D727B"/>
    <w:rsid w:val="004E1A6D"/>
    <w:rsid w:val="004E72D7"/>
    <w:rsid w:val="004F5DFE"/>
    <w:rsid w:val="005138EC"/>
    <w:rsid w:val="00515FFC"/>
    <w:rsid w:val="0053774B"/>
    <w:rsid w:val="00550383"/>
    <w:rsid w:val="005607B7"/>
    <w:rsid w:val="005B13D4"/>
    <w:rsid w:val="005B6A74"/>
    <w:rsid w:val="005E5091"/>
    <w:rsid w:val="00617C73"/>
    <w:rsid w:val="00622B7D"/>
    <w:rsid w:val="00657216"/>
    <w:rsid w:val="006A2313"/>
    <w:rsid w:val="006A6245"/>
    <w:rsid w:val="006A655B"/>
    <w:rsid w:val="006C206C"/>
    <w:rsid w:val="006D1010"/>
    <w:rsid w:val="006F3A30"/>
    <w:rsid w:val="00773F70"/>
    <w:rsid w:val="007F3040"/>
    <w:rsid w:val="0081031B"/>
    <w:rsid w:val="008138C6"/>
    <w:rsid w:val="008D1FEE"/>
    <w:rsid w:val="008D4FAD"/>
    <w:rsid w:val="00907F04"/>
    <w:rsid w:val="00923847"/>
    <w:rsid w:val="009475FD"/>
    <w:rsid w:val="00990D2D"/>
    <w:rsid w:val="00997113"/>
    <w:rsid w:val="009D43AD"/>
    <w:rsid w:val="00A103D6"/>
    <w:rsid w:val="00A55092"/>
    <w:rsid w:val="00A67B6A"/>
    <w:rsid w:val="00A92AE1"/>
    <w:rsid w:val="00A97AF0"/>
    <w:rsid w:val="00AB350F"/>
    <w:rsid w:val="00AC749F"/>
    <w:rsid w:val="00AD052F"/>
    <w:rsid w:val="00AD747D"/>
    <w:rsid w:val="00AE4DA5"/>
    <w:rsid w:val="00AF3160"/>
    <w:rsid w:val="00B06586"/>
    <w:rsid w:val="00B302E1"/>
    <w:rsid w:val="00B42388"/>
    <w:rsid w:val="00B8732C"/>
    <w:rsid w:val="00B95BF4"/>
    <w:rsid w:val="00BB0F98"/>
    <w:rsid w:val="00BD7736"/>
    <w:rsid w:val="00BE1426"/>
    <w:rsid w:val="00BF14AC"/>
    <w:rsid w:val="00C14018"/>
    <w:rsid w:val="00CE754B"/>
    <w:rsid w:val="00D15011"/>
    <w:rsid w:val="00D23F5C"/>
    <w:rsid w:val="00DF5670"/>
    <w:rsid w:val="00E0240A"/>
    <w:rsid w:val="00EB3E9C"/>
    <w:rsid w:val="00F00D79"/>
    <w:rsid w:val="00F0237D"/>
    <w:rsid w:val="00F22075"/>
    <w:rsid w:val="00FB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DF0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uiPriority w:val="99"/>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uiPriority w:val="99"/>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7113"/>
    <w:rPr>
      <w:vertAlign w:val="superscript"/>
    </w:rPr>
  </w:style>
  <w:style w:type="table" w:styleId="TableGrid">
    <w:name w:val="Table Grid"/>
    <w:basedOn w:val="TableNormal"/>
    <w:uiPriority w:val="59"/>
    <w:rsid w:val="0046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670"/>
    <w:rPr>
      <w:color w:val="0000FF" w:themeColor="hyperlink"/>
      <w:u w:val="single"/>
    </w:rPr>
  </w:style>
  <w:style w:type="character" w:styleId="FollowedHyperlink">
    <w:name w:val="FollowedHyperlink"/>
    <w:basedOn w:val="DefaultParagraphFont"/>
    <w:uiPriority w:val="99"/>
    <w:semiHidden/>
    <w:unhideWhenUsed/>
    <w:rsid w:val="004E1A6D"/>
    <w:rPr>
      <w:color w:val="800080" w:themeColor="followedHyperlink"/>
      <w:u w:val="single"/>
    </w:rPr>
  </w:style>
  <w:style w:type="character" w:styleId="CommentReference">
    <w:name w:val="annotation reference"/>
    <w:basedOn w:val="DefaultParagraphFont"/>
    <w:uiPriority w:val="99"/>
    <w:semiHidden/>
    <w:unhideWhenUsed/>
    <w:rsid w:val="00207784"/>
    <w:rPr>
      <w:sz w:val="16"/>
      <w:szCs w:val="16"/>
    </w:rPr>
  </w:style>
  <w:style w:type="paragraph" w:styleId="CommentText">
    <w:name w:val="annotation text"/>
    <w:basedOn w:val="Normal"/>
    <w:link w:val="CommentTextChar"/>
    <w:uiPriority w:val="99"/>
    <w:semiHidden/>
    <w:unhideWhenUsed/>
    <w:rsid w:val="00207784"/>
    <w:rPr>
      <w:sz w:val="20"/>
      <w:szCs w:val="20"/>
    </w:rPr>
  </w:style>
  <w:style w:type="character" w:customStyle="1" w:styleId="CommentTextChar">
    <w:name w:val="Comment Text Char"/>
    <w:basedOn w:val="DefaultParagraphFont"/>
    <w:link w:val="CommentText"/>
    <w:uiPriority w:val="99"/>
    <w:semiHidden/>
    <w:rsid w:val="002077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784"/>
    <w:rPr>
      <w:b/>
      <w:bCs/>
    </w:rPr>
  </w:style>
  <w:style w:type="character" w:customStyle="1" w:styleId="CommentSubjectChar">
    <w:name w:val="Comment Subject Char"/>
    <w:basedOn w:val="CommentTextChar"/>
    <w:link w:val="CommentSubject"/>
    <w:uiPriority w:val="99"/>
    <w:semiHidden/>
    <w:rsid w:val="002077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c.columbia.edu/catalog/policies/" TargetMode="External"/><Relationship Id="rId4" Type="http://schemas.openxmlformats.org/officeDocument/2006/relationships/webSettings" Target="webSettings.xml"/><Relationship Id="rId9" Type="http://schemas.openxmlformats.org/officeDocument/2006/relationships/hyperlink" Target="https://goo.gl/esM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1488-87C4-B14B-9622-8A60081A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6</cp:revision>
  <cp:lastPrinted>2019-03-21T18:27:00Z</cp:lastPrinted>
  <dcterms:created xsi:type="dcterms:W3CDTF">2020-04-08T21:29:00Z</dcterms:created>
  <dcterms:modified xsi:type="dcterms:W3CDTF">2023-03-09T18:33:00Z</dcterms:modified>
</cp:coreProperties>
</file>